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" w:line="267" w:lineRule="auto"/>
        <w:jc w:val="center"/>
        <w:rPr>
          <w:rFonts w:ascii="微软雅黑" w:hAnsi="微软雅黑" w:eastAsia="微软雅黑" w:cs="微软雅黑"/>
          <w:sz w:val="44"/>
        </w:rPr>
      </w:pPr>
    </w:p>
    <w:p>
      <w:pPr>
        <w:spacing w:after="2" w:line="267" w:lineRule="auto"/>
        <w:jc w:val="center"/>
        <w:rPr>
          <w:rFonts w:ascii="微软雅黑" w:hAnsi="微软雅黑" w:eastAsia="微软雅黑" w:cs="微软雅黑"/>
          <w:sz w:val="44"/>
        </w:rPr>
      </w:pPr>
    </w:p>
    <w:p>
      <w:pPr>
        <w:spacing w:after="2" w:line="267" w:lineRule="auto"/>
        <w:jc w:val="center"/>
        <w:rPr>
          <w:rFonts w:ascii="微软雅黑" w:hAnsi="微软雅黑" w:eastAsia="微软雅黑" w:cs="微软雅黑"/>
          <w:sz w:val="44"/>
        </w:rPr>
      </w:pPr>
    </w:p>
    <w:p>
      <w:pPr>
        <w:spacing w:after="2" w:line="267" w:lineRule="auto"/>
        <w:jc w:val="center"/>
        <w:outlineLvl w:val="9"/>
        <w:rPr>
          <w:rFonts w:ascii="微软雅黑" w:hAnsi="微软雅黑" w:eastAsia="微软雅黑" w:cs="微软雅黑"/>
          <w:sz w:val="44"/>
        </w:rPr>
      </w:pPr>
      <w:r>
        <w:rPr>
          <w:rFonts w:hint="eastAsia" w:ascii="微软雅黑" w:hAnsi="微软雅黑" w:eastAsia="微软雅黑" w:cs="微软雅黑"/>
          <w:sz w:val="44"/>
          <w:lang w:val="en-US" w:eastAsia="zh-CN"/>
        </w:rPr>
        <w:t>四川省</w:t>
      </w:r>
      <w:r>
        <w:rPr>
          <w:rFonts w:ascii="微软雅黑" w:hAnsi="微软雅黑" w:eastAsia="微软雅黑" w:cs="微软雅黑"/>
          <w:sz w:val="44"/>
        </w:rPr>
        <w:t>专业技术人才职称评审信息系统工作单位用户操作说明</w:t>
      </w:r>
    </w:p>
    <w:p>
      <w:pPr>
        <w:spacing w:after="2" w:line="267" w:lineRule="auto"/>
        <w:jc w:val="center"/>
        <w:outlineLvl w:val="9"/>
        <w:rPr>
          <w:rFonts w:ascii="微软雅黑" w:hAnsi="微软雅黑" w:eastAsia="微软雅黑" w:cs="微软雅黑"/>
          <w:sz w:val="44"/>
        </w:rPr>
      </w:pPr>
    </w:p>
    <w:p>
      <w:pPr>
        <w:spacing w:after="2" w:line="267" w:lineRule="auto"/>
        <w:ind w:firstLine="640" w:firstLineChars="200"/>
        <w:jc w:val="left"/>
        <w:rPr>
          <w:rFonts w:ascii="微软雅黑" w:hAnsi="微软雅黑" w:eastAsia="微软雅黑" w:cs="微软雅黑"/>
          <w:sz w:val="44"/>
        </w:rPr>
      </w:pPr>
      <w:r>
        <w:rPr>
          <w:rFonts w:ascii="仿宋" w:hAnsi="仿宋" w:eastAsia="仿宋" w:cs="仿宋"/>
          <w:sz w:val="32"/>
        </w:rPr>
        <w:t>本操作说明面向</w:t>
      </w:r>
      <w:r>
        <w:rPr>
          <w:rFonts w:hint="eastAsia" w:ascii="仿宋" w:hAnsi="仿宋" w:cs="仿宋"/>
          <w:sz w:val="32"/>
          <w:lang w:val="en-US" w:eastAsia="zh-CN"/>
        </w:rPr>
        <w:t>四川省</w:t>
      </w:r>
      <w:r>
        <w:rPr>
          <w:rFonts w:ascii="仿宋" w:hAnsi="仿宋" w:eastAsia="仿宋" w:cs="仿宋"/>
          <w:sz w:val="32"/>
        </w:rPr>
        <w:t>专业技术人才职称评审信息系统（下称本系统）中的工作单位用户，对使用本系统进行本单位及下级单位专业技术人才的职称申报审核、推荐、提交申报等操作流程及内容进行解释说明。</w:t>
      </w:r>
    </w:p>
    <w:p/>
    <w:p/>
    <w:p/>
    <w:p/>
    <w:p/>
    <w:p/>
    <w:p>
      <w:pPr>
        <w:jc w:val="both"/>
        <w:rPr>
          <w:rFonts w:hint="eastAsia" w:eastAsia="宋体"/>
          <w:lang w:val="en-US" w:eastAsia="zh-CN"/>
        </w:rPr>
      </w:pPr>
    </w:p>
    <w:sdt>
      <w:sdtPr>
        <w:rPr>
          <w:rFonts w:hint="eastAsia" w:ascii="Calibri" w:hAnsi="Calibri" w:eastAsia="宋体" w:cs="Calibri"/>
          <w:color w:val="000000"/>
          <w:kern w:val="2"/>
          <w:sz w:val="32"/>
          <w:szCs w:val="22"/>
          <w:lang w:val="en-US" w:eastAsia="zh-CN" w:bidi="ar-SA"/>
        </w:rPr>
        <w:id w:val="147478926"/>
        <w15:color w:val="DBDBDB"/>
        <w:docPartObj>
          <w:docPartGallery w:val="Table of Contents"/>
          <w:docPartUnique/>
        </w:docPartObj>
      </w:sdtPr>
      <w:sdtEndPr>
        <w:rPr>
          <w:rFonts w:hint="eastAsia" w:ascii="Calibri" w:hAnsi="Calibri" w:eastAsia="宋体" w:cs="Calibri"/>
          <w:color w:val="000000"/>
          <w:kern w:val="2"/>
          <w:sz w:val="32"/>
          <w:szCs w:val="22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rFonts w:hint="eastAsia" w:ascii="Calibri" w:hAnsi="Calibri" w:eastAsia="宋体" w:cs="Calibri"/>
              <w:color w:val="000000"/>
              <w:kern w:val="2"/>
              <w:sz w:val="32"/>
              <w:szCs w:val="22"/>
              <w:lang w:val="en-US" w:eastAsia="zh-CN" w:bidi="ar-SA"/>
            </w:rPr>
          </w:pPr>
          <w:r>
            <w:rPr>
              <w:rFonts w:hint="eastAsia" w:ascii="Calibri" w:hAnsi="Calibri" w:eastAsia="宋体" w:cs="Calibri"/>
              <w:color w:val="000000"/>
              <w:kern w:val="2"/>
              <w:sz w:val="32"/>
              <w:szCs w:val="22"/>
              <w:lang w:val="en-US" w:eastAsia="zh-CN" w:bidi="ar-SA"/>
            </w:rPr>
            <w:t>目录</w:t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TOC \o "1-3" \h \u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_Toc28792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</w:rPr>
            <w:t xml:space="preserve">一、 </w:t>
          </w:r>
          <w:r>
            <w:t>单位用户账户</w:t>
          </w:r>
          <w:r>
            <w:tab/>
          </w:r>
          <w:r>
            <w:fldChar w:fldCharType="begin"/>
          </w:r>
          <w:r>
            <w:instrText xml:space="preserve"> PAGEREF _Toc28792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_Toc18963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</w:rPr>
            <w:t xml:space="preserve">（一） </w:t>
          </w:r>
          <w:r>
            <w:t>确认上级单位</w:t>
          </w:r>
          <w:r>
            <w:tab/>
          </w:r>
          <w:r>
            <w:fldChar w:fldCharType="begin"/>
          </w:r>
          <w:r>
            <w:instrText xml:space="preserve"> PAGEREF _Toc18963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_Toc5981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t>（</w:t>
          </w:r>
          <w:r>
            <w:rPr>
              <w:rFonts w:hint="eastAsia"/>
              <w:lang w:val="en-US" w:eastAsia="zh-CN"/>
            </w:rPr>
            <w:t>二</w:t>
          </w:r>
          <w:r>
            <w:t>）</w:t>
          </w:r>
          <w:r>
            <w:rPr>
              <w:rFonts w:ascii="Arial" w:hAnsi="Arial" w:eastAsia="Arial" w:cs="Arial"/>
            </w:rPr>
            <w:t xml:space="preserve"> </w:t>
          </w:r>
          <w:r>
            <w:t>单位账户的取得方式</w:t>
          </w:r>
          <w:r>
            <w:tab/>
          </w:r>
          <w:r>
            <w:fldChar w:fldCharType="begin"/>
          </w:r>
          <w:r>
            <w:instrText xml:space="preserve"> PAGEREF _Toc5981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_Toc26460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1、上级单位建立</w:t>
          </w:r>
          <w:r>
            <w:tab/>
          </w:r>
          <w:r>
            <w:fldChar w:fldCharType="begin"/>
          </w:r>
          <w:r>
            <w:instrText xml:space="preserve"> PAGEREF _Toc26460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_Toc15672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2、自行注册</w:t>
          </w:r>
          <w:r>
            <w:tab/>
          </w:r>
          <w:r>
            <w:fldChar w:fldCharType="begin"/>
          </w:r>
          <w:r>
            <w:instrText xml:space="preserve"> PAGEREF _Toc15672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_Toc25030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（三） 工作人员管理</w:t>
          </w:r>
          <w:r>
            <w:tab/>
          </w:r>
          <w:r>
            <w:fldChar w:fldCharType="begin"/>
          </w:r>
          <w:r>
            <w:instrText xml:space="preserve"> PAGEREF _Toc25030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_Toc23207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（四） 角色管理</w:t>
          </w:r>
          <w:r>
            <w:tab/>
          </w:r>
          <w:r>
            <w:fldChar w:fldCharType="begin"/>
          </w:r>
          <w:r>
            <w:instrText xml:space="preserve"> PAGEREF _Toc23207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_Toc29074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</w:rPr>
            <w:t xml:space="preserve">二、 </w:t>
          </w:r>
          <w:r>
            <w:t>单位用户功能</w:t>
          </w:r>
          <w:r>
            <w:tab/>
          </w:r>
          <w:r>
            <w:fldChar w:fldCharType="begin"/>
          </w:r>
          <w:r>
            <w:instrText xml:space="preserve"> PAGEREF _Toc29074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_Toc18586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 w:ascii="Times New Roman" w:hAnsi="Times New Roman" w:eastAsia="Times New Roman" w:cs="Times New Roman"/>
            </w:rPr>
            <w:t xml:space="preserve">（一） </w:t>
          </w:r>
          <w:r>
            <w:rPr>
              <w:rFonts w:hint="eastAsia"/>
              <w:lang w:val="en-US" w:eastAsia="zh-CN"/>
            </w:rPr>
            <w:t>首页</w:t>
          </w:r>
          <w:r>
            <w:tab/>
          </w:r>
          <w:r>
            <w:fldChar w:fldCharType="begin"/>
          </w:r>
          <w:r>
            <w:instrText xml:space="preserve"> PAGEREF _Toc18586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_Toc20186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lang w:val="en-US" w:eastAsia="zh-CN"/>
            </w:rPr>
            <w:t>1、 单位基本信息</w:t>
          </w:r>
          <w:r>
            <w:tab/>
          </w:r>
          <w:r>
            <w:fldChar w:fldCharType="begin"/>
          </w:r>
          <w:r>
            <w:instrText xml:space="preserve"> PAGEREF _Toc20186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_Toc15874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lang w:val="en-US" w:eastAsia="zh-CN"/>
            </w:rPr>
            <w:t>2、 消息通知</w:t>
          </w:r>
          <w:r>
            <w:tab/>
          </w:r>
          <w:r>
            <w:fldChar w:fldCharType="begin"/>
          </w:r>
          <w:r>
            <w:instrText xml:space="preserve"> PAGEREF _Toc15874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_Toc16132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t>3、 当前待审核情况</w:t>
          </w:r>
          <w:r>
            <w:tab/>
          </w:r>
          <w:r>
            <w:fldChar w:fldCharType="begin"/>
          </w:r>
          <w:r>
            <w:instrText xml:space="preserve"> PAGEREF _Toc16132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_Toc5118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（二） 申报材料审核</w:t>
          </w:r>
          <w:r>
            <w:tab/>
          </w:r>
          <w:r>
            <w:fldChar w:fldCharType="begin"/>
          </w:r>
          <w:r>
            <w:instrText xml:space="preserve"> PAGEREF _Toc5118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_Toc701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lang w:val="en-US" w:eastAsia="zh-CN"/>
            </w:rPr>
            <w:t>1、 本单位人员审核</w:t>
          </w:r>
          <w:r>
            <w:tab/>
          </w:r>
          <w:r>
            <w:fldChar w:fldCharType="begin"/>
          </w:r>
          <w:r>
            <w:instrText xml:space="preserve"> PAGEREF _Toc701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_Toc19565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t>2、 下级单位人员审核</w:t>
          </w:r>
          <w:r>
            <w:tab/>
          </w:r>
          <w:r>
            <w:fldChar w:fldCharType="begin"/>
          </w:r>
          <w:r>
            <w:instrText xml:space="preserve"> PAGEREF _Toc19565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_Toc20672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3、 历年上报人员查询</w:t>
          </w:r>
          <w:r>
            <w:tab/>
          </w:r>
          <w:r>
            <w:fldChar w:fldCharType="begin"/>
          </w:r>
          <w:r>
            <w:instrText xml:space="preserve"> PAGEREF _Toc20672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_Toc30222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</w:rPr>
            <w:t xml:space="preserve">（三） </w:t>
          </w:r>
          <w:r>
            <w:rPr>
              <w:rFonts w:hint="eastAsia"/>
              <w:lang w:val="en-US" w:eastAsia="zh-CN"/>
            </w:rPr>
            <w:t>委托申请审核</w:t>
          </w:r>
          <w:r>
            <w:tab/>
          </w:r>
          <w:r>
            <w:fldChar w:fldCharType="begin"/>
          </w:r>
          <w:r>
            <w:instrText xml:space="preserve"> PAGEREF _Toc30222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_Toc11262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 w:ascii="Arial" w:hAnsi="Arial"/>
              <w:lang w:val="en-US" w:eastAsia="zh-CN"/>
            </w:rPr>
            <w:t>（四） 专技人才审核</w:t>
          </w:r>
          <w:r>
            <w:tab/>
          </w:r>
          <w:r>
            <w:fldChar w:fldCharType="begin"/>
          </w:r>
          <w:r>
            <w:instrText xml:space="preserve"> PAGEREF _Toc11262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_Toc8848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default" w:ascii="仿宋" w:hAnsi="仿宋" w:eastAsia="仿宋" w:cs="仿宋"/>
              <w:lang w:val="en-US" w:eastAsia="zh-CN"/>
            </w:rPr>
            <w:t xml:space="preserve">1、 </w:t>
          </w:r>
          <w:r>
            <w:rPr>
              <w:rFonts w:hint="eastAsia" w:ascii="仿宋" w:hAnsi="仿宋" w:eastAsia="仿宋" w:cs="仿宋"/>
              <w:lang w:val="en-US" w:eastAsia="zh-CN"/>
            </w:rPr>
            <w:t>专技人才审核</w:t>
          </w:r>
          <w:r>
            <w:tab/>
          </w:r>
          <w:r>
            <w:fldChar w:fldCharType="begin"/>
          </w:r>
          <w:r>
            <w:instrText xml:space="preserve"> PAGEREF _Toc8848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_Toc6114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default" w:ascii="仿宋" w:hAnsi="仿宋" w:eastAsia="仿宋" w:cs="仿宋"/>
              <w:lang w:val="en-US" w:eastAsia="zh-CN"/>
            </w:rPr>
            <w:t xml:space="preserve">2、 </w:t>
          </w:r>
          <w:r>
            <w:rPr>
              <w:rFonts w:hint="eastAsia" w:ascii="仿宋" w:hAnsi="仿宋" w:eastAsia="仿宋" w:cs="仿宋"/>
              <w:lang w:val="en-US" w:eastAsia="zh-CN"/>
            </w:rPr>
            <w:t>专技人才统计</w:t>
          </w:r>
          <w:r>
            <w:tab/>
          </w:r>
          <w:r>
            <w:fldChar w:fldCharType="begin"/>
          </w:r>
          <w:r>
            <w:instrText xml:space="preserve"> PAGEREF _Toc6114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11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_Toc1607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</w:rPr>
            <w:t xml:space="preserve">（五） </w:t>
          </w:r>
          <w:r>
            <w:t>消息推送</w:t>
          </w:r>
          <w:r>
            <w:tab/>
          </w:r>
          <w:r>
            <w:fldChar w:fldCharType="begin"/>
          </w:r>
          <w:r>
            <w:instrText xml:space="preserve"> PAGEREF _Toc1607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_Toc957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default" w:ascii="仿宋" w:hAnsi="仿宋" w:eastAsia="仿宋" w:cs="仿宋"/>
              <w:lang w:val="en-US" w:eastAsia="zh-CN"/>
            </w:rPr>
            <w:t xml:space="preserve">1、 </w:t>
          </w:r>
          <w:r>
            <w:rPr>
              <w:rFonts w:hint="eastAsia" w:ascii="仿宋" w:hAnsi="仿宋" w:cs="仿宋"/>
              <w:lang w:val="en-US" w:eastAsia="zh-CN"/>
            </w:rPr>
            <w:t>消息通知</w:t>
          </w:r>
          <w:r>
            <w:tab/>
          </w:r>
          <w:r>
            <w:fldChar w:fldCharType="begin"/>
          </w:r>
          <w:r>
            <w:instrText xml:space="preserve"> PAGEREF _Toc957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eastAsia" w:eastAsia="宋体"/>
              <w:lang w:val="en-US" w:eastAsia="zh-CN"/>
            </w:rPr>
            <w:fldChar w:fldCharType="begin"/>
          </w:r>
          <w:r>
            <w:rPr>
              <w:rFonts w:hint="eastAsia" w:eastAsia="宋体"/>
              <w:lang w:val="en-US" w:eastAsia="zh-CN"/>
            </w:rPr>
            <w:instrText xml:space="preserve"> HYPERLINK \l _Toc22107 </w:instrText>
          </w:r>
          <w:r>
            <w:rPr>
              <w:rFonts w:hint="eastAsia" w:eastAsia="宋体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2、 已接收消息列表</w:t>
          </w:r>
          <w:r>
            <w:tab/>
          </w:r>
          <w:r>
            <w:fldChar w:fldCharType="begin"/>
          </w:r>
          <w:r>
            <w:instrText xml:space="preserve"> PAGEREF _Toc22107 \h </w:instrText>
          </w:r>
          <w:r>
            <w:fldChar w:fldCharType="separate"/>
          </w:r>
          <w:r>
            <w:t>27</w:t>
          </w:r>
          <w:r>
            <w:fldChar w:fldCharType="end"/>
          </w:r>
          <w:r>
            <w:rPr>
              <w:rFonts w:hint="eastAsia" w:eastAsia="宋体"/>
              <w:lang w:val="en-US" w:eastAsia="zh-CN"/>
            </w:rPr>
            <w:fldChar w:fldCharType="end"/>
          </w:r>
        </w:p>
        <w:p>
          <w:pPr>
            <w:jc w:val="center"/>
            <w:rPr>
              <w:rFonts w:hint="eastAsia" w:eastAsia="宋体"/>
              <w:lang w:val="en-US" w:eastAsia="zh-CN"/>
            </w:rPr>
          </w:pPr>
          <w:r>
            <w:rPr>
              <w:rFonts w:hint="eastAsia" w:eastAsia="宋体"/>
              <w:lang w:val="en-US" w:eastAsia="zh-CN"/>
            </w:rPr>
            <w:fldChar w:fldCharType="end"/>
          </w:r>
        </w:p>
      </w:sdtContent>
    </w:sdt>
    <w:p>
      <w:pPr>
        <w:jc w:val="center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eastAsia="宋体"/>
          <w:lang w:val="en-US" w:eastAsia="zh-CN"/>
        </w:rPr>
      </w:pPr>
    </w:p>
    <w:p>
      <w:pPr>
        <w:jc w:val="center"/>
        <w:rPr>
          <w:rFonts w:hint="eastAsia" w:eastAsia="宋体"/>
          <w:lang w:val="en-US" w:eastAsia="zh-CN"/>
        </w:rPr>
      </w:pPr>
    </w:p>
    <w:p>
      <w:pPr>
        <w:jc w:val="both"/>
        <w:rPr>
          <w:rFonts w:hint="eastAsia" w:eastAsia="宋体"/>
          <w:lang w:val="en-US" w:eastAsia="zh-CN"/>
        </w:rPr>
      </w:pPr>
    </w:p>
    <w:p>
      <w:pPr>
        <w:pStyle w:val="2"/>
        <w:numPr>
          <w:ilvl w:val="0"/>
          <w:numId w:val="2"/>
        </w:numPr>
        <w:bidi w:val="0"/>
      </w:pPr>
      <w:bookmarkStart w:id="0" w:name="_Toc28792"/>
      <w:r>
        <w:t>单位用户账户</w:t>
      </w:r>
      <w:bookmarkEnd w:id="0"/>
      <w:r>
        <w:t xml:space="preserve"> </w:t>
      </w:r>
    </w:p>
    <w:p>
      <w:pPr>
        <w:pStyle w:val="3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bookmarkStart w:id="1" w:name="_Toc18963"/>
      <w:r>
        <w:t>确认上级单位</w:t>
      </w:r>
      <w:bookmarkEnd w:id="1"/>
      <w:r>
        <w:t xml:space="preserve">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3" w:lineRule="auto"/>
        <w:ind w:firstLine="640" w:firstLineChars="200"/>
        <w:jc w:val="left"/>
        <w:textAlignment w:val="auto"/>
      </w:pPr>
      <w:r>
        <w:rPr>
          <w:rFonts w:hint="eastAsia" w:ascii="仿宋" w:hAnsi="仿宋" w:eastAsia="仿宋" w:cs="仿宋"/>
          <w:sz w:val="32"/>
          <w:lang w:val="en-US" w:eastAsia="zh-CN"/>
        </w:rPr>
        <w:t>本省</w:t>
      </w:r>
      <w:r>
        <w:rPr>
          <w:rFonts w:ascii="仿宋" w:hAnsi="仿宋" w:eastAsia="仿宋" w:cs="仿宋"/>
          <w:sz w:val="32"/>
        </w:rPr>
        <w:t>职称申报实行逐级管理，在本系统中单位账户形成逐级串联关系，以</w:t>
      </w:r>
      <w:r>
        <w:rPr>
          <w:rFonts w:hint="eastAsia" w:ascii="仿宋" w:hAnsi="仿宋" w:eastAsia="仿宋" w:cs="仿宋"/>
          <w:sz w:val="32"/>
          <w:lang w:val="en-US" w:eastAsia="zh-CN"/>
        </w:rPr>
        <w:t>职称授权管理单位</w:t>
      </w:r>
      <w:r>
        <w:rPr>
          <w:rFonts w:ascii="仿宋" w:hAnsi="仿宋" w:eastAsia="仿宋" w:cs="仿宋"/>
          <w:sz w:val="32"/>
        </w:rPr>
        <w:t>为最上一级，逐级开设工作单位账户。</w:t>
      </w:r>
      <w:r>
        <w:rPr>
          <w:rFonts w:ascii="Times New Roman" w:hAnsi="Times New Roman" w:eastAsia="Times New Roman" w:cs="Times New Roman"/>
          <w:sz w:val="32"/>
        </w:rPr>
        <w:t xml:space="preserve">  </w:t>
      </w:r>
    </w:p>
    <w:p>
      <w:pPr>
        <w:pStyle w:val="3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bookmarkStart w:id="2" w:name="_Toc6934"/>
      <w:bookmarkStart w:id="3" w:name="_Toc5981"/>
      <w:r>
        <w:t>（</w:t>
      </w:r>
      <w:r>
        <w:rPr>
          <w:rFonts w:hint="eastAsia"/>
          <w:lang w:val="en-US" w:eastAsia="zh-CN"/>
        </w:rPr>
        <w:t>二</w:t>
      </w:r>
      <w:r>
        <w:t>）</w:t>
      </w:r>
      <w:r>
        <w:rPr>
          <w:rFonts w:ascii="Arial" w:hAnsi="Arial" w:eastAsia="Arial" w:cs="Arial"/>
        </w:rPr>
        <w:t xml:space="preserve"> </w:t>
      </w:r>
      <w:r>
        <w:t>单位账户的取得方式</w:t>
      </w:r>
      <w:bookmarkEnd w:id="2"/>
      <w:bookmarkEnd w:id="3"/>
      <w:r>
        <w:rPr>
          <w:rFonts w:ascii="Times New Roman" w:hAnsi="Times New Roman" w:eastAsia="Times New Roman" w:cs="Times New Roman"/>
        </w:rPr>
        <w:t xml:space="preserve">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93"/>
        <w:ind w:firstLine="640" w:firstLineChars="200"/>
        <w:jc w:val="left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本系统单位用户接入四川省统一身份认证平台。</w:t>
      </w:r>
      <w:r>
        <w:rPr>
          <w:rFonts w:ascii="仿宋" w:hAnsi="仿宋" w:eastAsia="仿宋" w:cs="仿宋"/>
          <w:sz w:val="32"/>
        </w:rPr>
        <w:t xml:space="preserve">单位账户的获得共有以下 </w:t>
      </w:r>
      <w:r>
        <w:rPr>
          <w:rFonts w:ascii="Times New Roman" w:hAnsi="Times New Roman" w:eastAsia="Times New Roman" w:cs="Times New Roman"/>
          <w:sz w:val="32"/>
        </w:rPr>
        <w:t xml:space="preserve">2 </w:t>
      </w:r>
      <w:r>
        <w:rPr>
          <w:rFonts w:ascii="仿宋" w:hAnsi="仿宋" w:eastAsia="仿宋" w:cs="仿宋"/>
          <w:sz w:val="32"/>
        </w:rPr>
        <w:t>种方式</w:t>
      </w:r>
      <w:r>
        <w:rPr>
          <w:rFonts w:hint="eastAsia" w:ascii="仿宋" w:hAnsi="仿宋" w:eastAsia="仿宋" w:cs="仿宋"/>
          <w:sz w:val="32"/>
          <w:lang w:eastAsia="zh-CN"/>
        </w:rPr>
        <w:t>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jc w:val="left"/>
        <w:textAlignment w:val="auto"/>
        <w:outlineLvl w:val="2"/>
        <w:rPr>
          <w:rFonts w:hint="default"/>
          <w:lang w:val="en-US" w:eastAsia="zh-CN"/>
        </w:rPr>
      </w:pPr>
      <w:bookmarkStart w:id="4" w:name="_Toc1552"/>
      <w:bookmarkStart w:id="5" w:name="_Toc26460"/>
      <w:r>
        <w:rPr>
          <w:rFonts w:hint="eastAsia"/>
          <w:lang w:val="en-US" w:eastAsia="zh-CN"/>
        </w:rPr>
        <w:t>1、上级单位建立</w:t>
      </w:r>
      <w:bookmarkEnd w:id="4"/>
      <w:bookmarkEnd w:id="5"/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上级单位可以在本系统</w:t>
      </w:r>
      <w:r>
        <w:rPr>
          <w:rFonts w:hint="eastAsia" w:ascii="仿宋" w:hAnsi="仿宋" w:cs="仿宋"/>
          <w:sz w:val="32"/>
          <w:lang w:val="en-US" w:eastAsia="zh-CN"/>
        </w:rPr>
        <w:t>的【单位管理】-【下级单位管理】模块新建</w:t>
      </w:r>
      <w:r>
        <w:rPr>
          <w:rFonts w:hint="eastAsia" w:ascii="仿宋" w:hAnsi="仿宋" w:eastAsia="仿宋" w:cs="仿宋"/>
          <w:sz w:val="32"/>
          <w:lang w:val="en-US" w:eastAsia="zh-CN"/>
        </w:rPr>
        <w:t>自己的下级单位，</w:t>
      </w:r>
      <w:r>
        <w:rPr>
          <w:rFonts w:hint="eastAsia" w:ascii="仿宋" w:hAnsi="仿宋" w:cs="仿宋"/>
          <w:sz w:val="32"/>
          <w:lang w:val="en-US" w:eastAsia="zh-CN"/>
        </w:rPr>
        <w:t>维护单位基本信息后，需添加经办人员，此处添加的经办人员为下级单位的超级管理员。创建成功后，超级管理员可以在系统首页点击【登录入口】-【登录】</w:t>
      </w:r>
      <w:r>
        <w:rPr>
          <w:rFonts w:hint="eastAsia" w:ascii="仿宋" w:hAnsi="仿宋" w:eastAsia="仿宋" w:cs="仿宋"/>
          <w:sz w:val="32"/>
          <w:lang w:val="en-US" w:eastAsia="zh-CN"/>
        </w:rPr>
        <w:t>跳转至统一身份认证平台，需在该平台完成注册及认证后跳转回本</w:t>
      </w:r>
      <w:r>
        <w:rPr>
          <w:rFonts w:hint="eastAsia" w:ascii="仿宋" w:hAnsi="仿宋" w:cs="仿宋"/>
          <w:sz w:val="32"/>
          <w:lang w:val="en-US" w:eastAsia="zh-CN"/>
        </w:rPr>
        <w:t>系统。如图1-2-1、图1-2-2、图1-2-3、图1-2-4、图1-2-5所示：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left"/>
        <w:textAlignment w:val="auto"/>
      </w:pPr>
      <w:r>
        <w:drawing>
          <wp:inline distT="0" distB="0" distL="114300" distR="114300">
            <wp:extent cx="5261610" cy="2433320"/>
            <wp:effectExtent l="0" t="0" r="11430" b="5080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图1-2-1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center"/>
        <w:textAlignment w:val="auto"/>
      </w:pPr>
      <w:r>
        <w:drawing>
          <wp:inline distT="0" distB="0" distL="114300" distR="114300">
            <wp:extent cx="5266055" cy="2461895"/>
            <wp:effectExtent l="0" t="0" r="6985" b="6985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图1-2-2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left"/>
        <w:textAlignment w:val="auto"/>
      </w:pPr>
      <w:r>
        <w:drawing>
          <wp:inline distT="0" distB="0" distL="114300" distR="114300">
            <wp:extent cx="5264150" cy="2424430"/>
            <wp:effectExtent l="0" t="0" r="8890" b="13970"/>
            <wp:docPr id="8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1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图1-2-3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left"/>
        <w:textAlignment w:val="auto"/>
      </w:pPr>
      <w:r>
        <w:drawing>
          <wp:inline distT="0" distB="0" distL="114300" distR="114300">
            <wp:extent cx="5272405" cy="4220845"/>
            <wp:effectExtent l="0" t="0" r="635" b="635"/>
            <wp:docPr id="9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22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center"/>
        <w:textAlignment w:val="auto"/>
        <w:rPr>
          <w:rFonts w:hint="default"/>
          <w:lang w:val="en-US"/>
        </w:rPr>
      </w:pPr>
      <w:r>
        <w:rPr>
          <w:rFonts w:hint="eastAsia"/>
          <w:lang w:val="en-US" w:eastAsia="zh-CN"/>
        </w:rPr>
        <w:t>图1-2-4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left"/>
        <w:textAlignment w:val="auto"/>
      </w:pPr>
      <w:r>
        <w:drawing>
          <wp:inline distT="0" distB="0" distL="114300" distR="114300">
            <wp:extent cx="5271770" cy="3429635"/>
            <wp:effectExtent l="0" t="0" r="1270" b="14605"/>
            <wp:docPr id="9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2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图1-2-5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填写说明：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4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highlight w:val="none"/>
          <w:lang w:val="en-US" w:eastAsia="zh-CN"/>
        </w:rPr>
        <w:t xml:space="preserve">  【上级单位名称】：职称业务的上级部门。例如：四川省乐山市教育局的上级单位是四川省教育厅。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【职称业务归属地】：办理职称业务的归属地，非单位所在地。省属单位的属地选择“四川省省本级”，市属单位的属地选择对应市的市本级，其他单位请根据实际情况选择对应县区。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jc w:val="left"/>
        <w:textAlignment w:val="auto"/>
        <w:outlineLvl w:val="2"/>
        <w:rPr>
          <w:rFonts w:hint="eastAsia"/>
          <w:lang w:val="en-US" w:eastAsia="zh-CN"/>
        </w:rPr>
      </w:pPr>
      <w:bookmarkStart w:id="6" w:name="_Toc28812"/>
      <w:bookmarkStart w:id="7" w:name="_Toc15672"/>
      <w:r>
        <w:rPr>
          <w:rFonts w:hint="eastAsia"/>
          <w:lang w:val="en-US" w:eastAsia="zh-CN"/>
        </w:rPr>
        <w:t>2、自行注册</w:t>
      </w:r>
      <w:bookmarkEnd w:id="6"/>
      <w:bookmarkEnd w:id="7"/>
      <w:r>
        <w:rPr>
          <w:rFonts w:hint="eastAsia"/>
          <w:lang w:val="en-US" w:eastAsia="zh-CN"/>
        </w:rPr>
        <w:t xml:space="preserve">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ascii="仿宋" w:hAnsi="仿宋" w:eastAsia="仿宋" w:cs="仿宋"/>
          <w:sz w:val="32"/>
        </w:rPr>
        <w:t>系统中单位账户可以自行注册</w:t>
      </w:r>
      <w:r>
        <w:rPr>
          <w:rFonts w:hint="eastAsia" w:ascii="仿宋" w:hAnsi="仿宋" w:eastAsia="仿宋" w:cs="仿宋"/>
          <w:sz w:val="32"/>
          <w:lang w:eastAsia="zh-CN"/>
        </w:rPr>
        <w:t>。</w:t>
      </w:r>
      <w:r>
        <w:rPr>
          <w:rFonts w:hint="eastAsia" w:ascii="仿宋" w:hAnsi="仿宋" w:cs="仿宋"/>
          <w:sz w:val="32"/>
          <w:lang w:val="en-US" w:eastAsia="zh-CN"/>
        </w:rPr>
        <w:t>点击【登录入口】</w:t>
      </w:r>
      <w:r>
        <w:rPr>
          <w:rFonts w:hint="eastAsia" w:ascii="仿宋" w:hAnsi="仿宋" w:eastAsia="仿宋" w:cs="仿宋"/>
          <w:sz w:val="32"/>
          <w:lang w:val="en-US" w:eastAsia="zh-CN"/>
        </w:rPr>
        <w:t>，点击左下角的</w:t>
      </w:r>
      <w:r>
        <w:rPr>
          <w:rFonts w:hint="eastAsia" w:ascii="仿宋" w:hAnsi="仿宋" w:cs="仿宋"/>
          <w:sz w:val="32"/>
          <w:lang w:val="en-US" w:eastAsia="zh-CN"/>
        </w:rPr>
        <w:t>【</w:t>
      </w:r>
      <w:r>
        <w:rPr>
          <w:rFonts w:hint="eastAsia" w:ascii="仿宋" w:hAnsi="仿宋" w:eastAsia="仿宋" w:cs="仿宋"/>
          <w:sz w:val="32"/>
          <w:lang w:val="en-US" w:eastAsia="zh-CN"/>
        </w:rPr>
        <w:t>注册</w:t>
      </w:r>
      <w:r>
        <w:rPr>
          <w:rFonts w:hint="eastAsia" w:ascii="仿宋" w:hAnsi="仿宋" w:cs="仿宋"/>
          <w:sz w:val="32"/>
          <w:lang w:val="en-US" w:eastAsia="zh-CN"/>
        </w:rPr>
        <w:t>】</w:t>
      </w:r>
      <w:r>
        <w:rPr>
          <w:rFonts w:hint="eastAsia" w:ascii="仿宋" w:hAnsi="仿宋" w:eastAsia="仿宋" w:cs="仿宋"/>
          <w:sz w:val="32"/>
          <w:lang w:val="en-US" w:eastAsia="zh-CN"/>
        </w:rPr>
        <w:t>跳转至统一身份认证平台，</w:t>
      </w:r>
      <w:r>
        <w:rPr>
          <w:rFonts w:hint="eastAsia" w:ascii="仿宋" w:hAnsi="仿宋" w:cs="仿宋"/>
          <w:sz w:val="32"/>
          <w:lang w:val="en-US" w:eastAsia="zh-CN"/>
        </w:rPr>
        <w:t>点击“法人登录”框右上方的“注册”，根据四川省统一身份认证平台的提示完成注册</w:t>
      </w:r>
      <w:r>
        <w:rPr>
          <w:rFonts w:hint="eastAsia" w:ascii="仿宋" w:hAnsi="仿宋" w:eastAsia="仿宋" w:cs="仿宋"/>
          <w:sz w:val="32"/>
          <w:lang w:val="en-US" w:eastAsia="zh-CN"/>
        </w:rPr>
        <w:t>注册及认证</w:t>
      </w:r>
      <w:r>
        <w:rPr>
          <w:rFonts w:hint="eastAsia" w:ascii="仿宋" w:hAnsi="仿宋" w:cs="仿宋"/>
          <w:sz w:val="32"/>
          <w:lang w:val="en-US" w:eastAsia="zh-CN"/>
        </w:rPr>
        <w:t>后方可进入本系统（如图1-2-6、图1-2-7所示）</w:t>
      </w:r>
      <w:r>
        <w:rPr>
          <w:rFonts w:hint="eastAsia" w:ascii="仿宋" w:hAnsi="仿宋" w:eastAsia="仿宋" w:cs="仿宋"/>
          <w:sz w:val="32"/>
          <w:lang w:val="en-US" w:eastAsia="zh-CN"/>
        </w:rPr>
        <w:t>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ind w:left="0" w:leftChars="0" w:firstLine="640" w:firstLineChars="200"/>
        <w:jc w:val="left"/>
        <w:textAlignment w:val="auto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在【基本信息维护】完善单位信息，提交</w:t>
      </w:r>
      <w:r>
        <w:rPr>
          <w:rFonts w:ascii="仿宋" w:hAnsi="仿宋" w:eastAsia="仿宋" w:cs="仿宋"/>
          <w:sz w:val="32"/>
        </w:rPr>
        <w:t>上级单位审核</w:t>
      </w:r>
      <w:r>
        <w:rPr>
          <w:rFonts w:hint="eastAsia" w:ascii="仿宋" w:hAnsi="仿宋" w:eastAsia="仿宋" w:cs="仿宋"/>
          <w:sz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lang w:val="en-US" w:eastAsia="zh-CN"/>
        </w:rPr>
        <w:t>审核通过后</w:t>
      </w:r>
      <w:r>
        <w:rPr>
          <w:rFonts w:ascii="仿宋" w:hAnsi="仿宋" w:eastAsia="仿宋" w:cs="仿宋"/>
          <w:sz w:val="32"/>
        </w:rPr>
        <w:t>后开放申报</w:t>
      </w:r>
      <w:r>
        <w:rPr>
          <w:rFonts w:hint="eastAsia" w:ascii="仿宋" w:hAnsi="仿宋" w:eastAsia="仿宋" w:cs="仿宋"/>
          <w:sz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lang w:val="en-US" w:eastAsia="zh-CN"/>
        </w:rPr>
        <w:t>经办</w:t>
      </w:r>
      <w:r>
        <w:rPr>
          <w:rFonts w:ascii="仿宋" w:hAnsi="仿宋" w:eastAsia="仿宋" w:cs="仿宋"/>
          <w:sz w:val="32"/>
        </w:rPr>
        <w:t>功能</w:t>
      </w:r>
      <w:r>
        <w:rPr>
          <w:rFonts w:hint="eastAsia" w:ascii="仿宋" w:hAnsi="仿宋" w:cs="仿宋"/>
          <w:sz w:val="32"/>
          <w:lang w:eastAsia="zh-CN"/>
        </w:rPr>
        <w:t>（</w:t>
      </w:r>
      <w:r>
        <w:rPr>
          <w:rFonts w:hint="eastAsia" w:ascii="仿宋" w:hAnsi="仿宋" w:cs="仿宋"/>
          <w:sz w:val="32"/>
          <w:lang w:val="en-US" w:eastAsia="zh-CN"/>
        </w:rPr>
        <w:t>如图1-2-8、图1-2-9所示</w:t>
      </w:r>
      <w:r>
        <w:rPr>
          <w:rFonts w:hint="eastAsia" w:ascii="仿宋" w:hAnsi="仿宋" w:cs="仿宋"/>
          <w:sz w:val="32"/>
          <w:lang w:eastAsia="zh-CN"/>
        </w:rPr>
        <w:t>）</w:t>
      </w:r>
      <w:r>
        <w:rPr>
          <w:rFonts w:ascii="仿宋" w:hAnsi="仿宋" w:eastAsia="仿宋" w:cs="仿宋"/>
          <w:sz w:val="32"/>
        </w:rPr>
        <w:t>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left"/>
        <w:textAlignment w:val="auto"/>
        <w:rPr>
          <w:rFonts w:hint="eastAsia" w:eastAsia="仿宋"/>
          <w:lang w:eastAsia="zh-CN"/>
        </w:rPr>
      </w:pPr>
      <w:r>
        <w:rPr>
          <w:rFonts w:hint="eastAsia" w:eastAsia="仿宋"/>
          <w:lang w:eastAsia="zh-CN"/>
        </w:rPr>
        <w:drawing>
          <wp:inline distT="0" distB="0" distL="114300" distR="114300">
            <wp:extent cx="5266690" cy="2418715"/>
            <wp:effectExtent l="0" t="0" r="0" b="0"/>
            <wp:docPr id="13" name="图片 13" descr="QQ截图20230504143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QQ截图20230504143109"/>
                    <pic:cNvPicPr>
                      <a:picLocks noChangeAspect="1"/>
                    </pic:cNvPicPr>
                  </pic:nvPicPr>
                  <pic:blipFill>
                    <a:blip r:embed="rId11"/>
                    <a:srcRect t="956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图1-2-6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ind w:left="0" w:leftChars="0" w:firstLine="640" w:firstLineChars="200"/>
        <w:jc w:val="left"/>
        <w:textAlignment w:val="auto"/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left"/>
        <w:textAlignment w:val="auto"/>
      </w:pPr>
      <w:r>
        <w:drawing>
          <wp:inline distT="0" distB="0" distL="114300" distR="114300">
            <wp:extent cx="5266690" cy="2445385"/>
            <wp:effectExtent l="0" t="0" r="6350" b="8255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图1-2-7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left"/>
        <w:textAlignment w:val="auto"/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left"/>
        <w:textAlignment w:val="auto"/>
      </w:pPr>
      <w:r>
        <w:drawing>
          <wp:inline distT="0" distB="0" distL="114300" distR="114300">
            <wp:extent cx="5274310" cy="3045460"/>
            <wp:effectExtent l="0" t="0" r="13970" b="2540"/>
            <wp:docPr id="54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图1-2-8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left"/>
        <w:textAlignment w:val="auto"/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left"/>
        <w:textAlignment w:val="auto"/>
      </w:pPr>
      <w:r>
        <w:drawing>
          <wp:inline distT="0" distB="0" distL="114300" distR="114300">
            <wp:extent cx="5272405" cy="2382520"/>
            <wp:effectExtent l="0" t="0" r="635" b="10160"/>
            <wp:docPr id="55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8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图1-2-9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pStyle w:val="3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bookmarkStart w:id="8" w:name="_Toc12875"/>
      <w:bookmarkStart w:id="9" w:name="_Toc25030"/>
      <w:r>
        <w:rPr>
          <w:rFonts w:hint="eastAsia"/>
          <w:lang w:val="en-US" w:eastAsia="zh-CN"/>
        </w:rPr>
        <w:t>（三） 工作人员管理</w:t>
      </w:r>
      <w:bookmarkEnd w:id="8"/>
      <w:bookmarkEnd w:id="9"/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cs="仿宋"/>
          <w:sz w:val="32"/>
          <w:lang w:val="en-US" w:eastAsia="zh-CN"/>
        </w:rPr>
        <w:t>本系统默认第一个注册单位账号的本单位的超级管理员，超级管理员可以在【工作人员管理】模块新增工作人员的账号，并指定角色，该工作人员就能获取相应的角色下所有的权限（如图1-3-1、图1-3-2所示）。保存成功后，工作人员可以在首页点击【登录入口】-【登录】，跳转至</w:t>
      </w:r>
      <w:r>
        <w:rPr>
          <w:rFonts w:hint="eastAsia" w:ascii="仿宋" w:hAnsi="仿宋" w:eastAsia="仿宋" w:cs="仿宋"/>
          <w:sz w:val="32"/>
          <w:lang w:val="en-US" w:eastAsia="zh-CN"/>
        </w:rPr>
        <w:t>统一身份认证平台，需在该平台</w:t>
      </w:r>
      <w:r>
        <w:rPr>
          <w:rFonts w:hint="eastAsia" w:ascii="仿宋" w:hAnsi="仿宋" w:cs="仿宋"/>
          <w:sz w:val="32"/>
          <w:lang w:val="en-US" w:eastAsia="zh-CN"/>
        </w:rPr>
        <w:t>选择法人登录</w:t>
      </w:r>
      <w:r>
        <w:rPr>
          <w:rFonts w:hint="eastAsia" w:ascii="仿宋" w:hAnsi="仿宋" w:eastAsia="仿宋" w:cs="仿宋"/>
          <w:sz w:val="32"/>
          <w:lang w:val="en-US" w:eastAsia="zh-CN"/>
        </w:rPr>
        <w:t>完成注册及认证后跳转回本系统</w:t>
      </w:r>
      <w:r>
        <w:rPr>
          <w:rFonts w:hint="eastAsia" w:ascii="仿宋" w:hAnsi="仿宋" w:cs="仿宋"/>
          <w:sz w:val="32"/>
          <w:lang w:val="en-US" w:eastAsia="zh-CN"/>
        </w:rPr>
        <w:t>（如图1-3-3所示）</w:t>
      </w:r>
      <w:r>
        <w:rPr>
          <w:rFonts w:hint="eastAsia" w:ascii="仿宋" w:hAnsi="仿宋" w:eastAsia="仿宋" w:cs="仿宋"/>
          <w:sz w:val="32"/>
          <w:lang w:val="en-US" w:eastAsia="zh-CN"/>
        </w:rPr>
        <w:t>。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63515" cy="2037080"/>
            <wp:effectExtent l="0" t="0" r="9525" b="5080"/>
            <wp:docPr id="56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图1-3-1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eastAsia"/>
          <w:lang w:val="en-US" w:eastAsia="zh-CN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71135" cy="2022475"/>
            <wp:effectExtent l="0" t="0" r="1905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02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图1-3-2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66690" cy="2445385"/>
            <wp:effectExtent l="0" t="0" r="6350" b="8255"/>
            <wp:docPr id="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图1-3-3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eastAsia"/>
          <w:lang w:val="en-US" w:eastAsia="zh-CN"/>
        </w:rPr>
      </w:pPr>
    </w:p>
    <w:p>
      <w:pPr>
        <w:pStyle w:val="3"/>
        <w:pageBreakBefore w:val="0"/>
        <w:widowControl/>
        <w:numPr>
          <w:ilvl w:val="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/>
          <w:lang w:val="en-US" w:eastAsia="zh-CN"/>
        </w:rPr>
      </w:pPr>
      <w:bookmarkStart w:id="10" w:name="_Toc7976"/>
      <w:bookmarkStart w:id="11" w:name="_Toc23207"/>
      <w:r>
        <w:rPr>
          <w:rFonts w:hint="eastAsia"/>
          <w:lang w:val="en-US" w:eastAsia="zh-CN"/>
        </w:rPr>
        <w:t>（四） 角色管理</w:t>
      </w:r>
      <w:bookmarkEnd w:id="10"/>
      <w:bookmarkEnd w:id="11"/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本单位的超级管理员可以通过此模块新增角色信息，赋予不同角色不同的权限，后续新增工作人员账号时，可指定相应的角色，如图1-4-1、图1-4-2所示：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72405" cy="2028825"/>
            <wp:effectExtent l="0" t="0" r="635" b="13335"/>
            <wp:docPr id="57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3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图1-4-1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/>
          <w:lang w:val="en-US" w:eastAsia="zh-CN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65420" cy="2966085"/>
            <wp:effectExtent l="0" t="0" r="7620" b="5715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图1-4-2</w:t>
      </w:r>
    </w:p>
    <w:p>
      <w:pPr>
        <w:pStyle w:val="2"/>
        <w:numPr>
          <w:ilvl w:val="0"/>
          <w:numId w:val="2"/>
        </w:numPr>
        <w:bidi w:val="0"/>
        <w:ind w:left="0" w:leftChars="0" w:firstLine="0" w:firstLineChars="0"/>
      </w:pPr>
      <w:bookmarkStart w:id="12" w:name="_Toc29074"/>
      <w:r>
        <w:t>单位用户功能</w:t>
      </w:r>
      <w:bookmarkEnd w:id="12"/>
    </w:p>
    <w:p>
      <w:pPr>
        <w:pStyle w:val="3"/>
        <w:numPr>
          <w:ilvl w:val="0"/>
          <w:numId w:val="4"/>
        </w:numPr>
        <w:bidi w:val="0"/>
        <w:ind w:left="11" w:leftChars="0"/>
        <w:rPr>
          <w:rFonts w:ascii="Times New Roman" w:hAnsi="Times New Roman" w:eastAsia="Times New Roman" w:cs="Times New Roman"/>
          <w:sz w:val="32"/>
        </w:rPr>
      </w:pPr>
      <w:r>
        <w:rPr>
          <w:rFonts w:hint="eastAsia"/>
          <w:lang w:val="en-US" w:eastAsia="zh-CN"/>
        </w:rPr>
        <w:t xml:space="preserve"> </w:t>
      </w:r>
      <w:bookmarkStart w:id="13" w:name="_Toc18586"/>
      <w:r>
        <w:rPr>
          <w:rFonts w:hint="eastAsia"/>
          <w:lang w:val="en-US" w:eastAsia="zh-CN"/>
        </w:rPr>
        <w:t>首页</w:t>
      </w:r>
      <w:bookmarkEnd w:id="13"/>
      <w:r>
        <w:rPr>
          <w:rFonts w:ascii="Times New Roman" w:hAnsi="Times New Roman" w:eastAsia="Times New Roman" w:cs="Times New Roman"/>
          <w:sz w:val="32"/>
        </w:rPr>
        <w:t xml:space="preserve">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</w:pPr>
      <w:r>
        <w:rPr>
          <w:rFonts w:hint="eastAsia" w:ascii="仿宋" w:hAnsi="仿宋" w:cs="仿宋"/>
          <w:sz w:val="32"/>
          <w:lang w:val="en-US" w:eastAsia="zh-CN"/>
        </w:rPr>
        <w:t>单位进入系统后，首先进入单位首页。系统首页分别展示单位基本信息、消息通知、当前待审核情况。如图2-1-1所示：</w:t>
      </w:r>
    </w:p>
    <w:p>
      <w:pPr>
        <w:spacing w:after="3"/>
        <w:rPr>
          <w:rFonts w:ascii="Times New Roman" w:hAnsi="Times New Roman" w:eastAsia="Times New Roman" w:cs="Times New Roman"/>
          <w:sz w:val="32"/>
        </w:rPr>
      </w:pPr>
    </w:p>
    <w:p>
      <w:pPr>
        <w:spacing w:after="3"/>
      </w:pPr>
      <w:r>
        <w:drawing>
          <wp:inline distT="0" distB="0" distL="114300" distR="114300">
            <wp:extent cx="5273040" cy="2451100"/>
            <wp:effectExtent l="0" t="0" r="0" b="2540"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5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3"/>
        <w:jc w:val="center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图2-1-1</w:t>
      </w:r>
    </w:p>
    <w:p>
      <w:pPr>
        <w:numPr>
          <w:ilvl w:val="0"/>
          <w:numId w:val="5"/>
        </w:numPr>
        <w:bidi w:val="0"/>
        <w:ind w:firstLine="320" w:firstLineChars="100"/>
        <w:outlineLvl w:val="2"/>
        <w:rPr>
          <w:lang w:val="en-US" w:eastAsia="zh-CN"/>
        </w:rPr>
      </w:pPr>
      <w:bookmarkStart w:id="14" w:name="_Toc20186"/>
      <w:r>
        <w:rPr>
          <w:lang w:val="en-US" w:eastAsia="zh-CN"/>
        </w:rPr>
        <w:t>单位基本信息</w:t>
      </w:r>
      <w:bookmarkEnd w:id="14"/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cs="仿宋"/>
          <w:sz w:val="32"/>
          <w:lang w:val="en-US" w:eastAsia="zh-CN"/>
        </w:rPr>
      </w:pPr>
      <w:r>
        <w:rPr>
          <w:rFonts w:hint="eastAsia" w:ascii="仿宋" w:hAnsi="仿宋" w:cs="仿宋"/>
          <w:sz w:val="32"/>
          <w:lang w:val="en-US" w:eastAsia="zh-CN"/>
        </w:rPr>
        <w:t>如需修改基本信息，可点击【基本信息维护】可以进入信息维护页面（单位名称等信息不可修改），若变更上级单位，提交上级单位审核，审核通过后后开放申报、经办功能。</w:t>
      </w:r>
    </w:p>
    <w:p>
      <w:pPr>
        <w:numPr>
          <w:ilvl w:val="0"/>
          <w:numId w:val="5"/>
        </w:numPr>
        <w:bidi w:val="0"/>
        <w:ind w:left="0" w:leftChars="0" w:firstLine="320" w:firstLineChars="100"/>
        <w:outlineLvl w:val="2"/>
        <w:rPr>
          <w:lang w:val="en-US" w:eastAsia="zh-CN"/>
        </w:rPr>
      </w:pPr>
      <w:bookmarkStart w:id="15" w:name="_Toc15874"/>
      <w:r>
        <w:rPr>
          <w:lang w:val="en-US" w:eastAsia="zh-CN"/>
        </w:rPr>
        <w:t>消息通知</w:t>
      </w:r>
      <w:bookmarkEnd w:id="15"/>
      <w:r>
        <w:rPr>
          <w:lang w:val="en-US" w:eastAsia="zh-CN"/>
        </w:rPr>
        <w:t xml:space="preserve"> </w:t>
      </w:r>
    </w:p>
    <w:p>
      <w:pPr>
        <w:spacing w:after="185"/>
        <w:ind w:left="649" w:hanging="10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可以查看系统中上级单位发送的各类通知消息。</w:t>
      </w:r>
    </w:p>
    <w:p>
      <w:pPr>
        <w:numPr>
          <w:ilvl w:val="0"/>
          <w:numId w:val="5"/>
        </w:numPr>
        <w:bidi w:val="0"/>
        <w:ind w:left="0" w:leftChars="0" w:firstLine="320" w:firstLineChars="100"/>
        <w:outlineLvl w:val="2"/>
      </w:pPr>
      <w:bookmarkStart w:id="16" w:name="_Toc16132"/>
      <w:r>
        <w:t>当前待审核情况</w:t>
      </w:r>
      <w:bookmarkEnd w:id="16"/>
      <w:r>
        <w:t xml:space="preserve"> </w:t>
      </w:r>
    </w:p>
    <w:p>
      <w:pPr>
        <w:spacing w:after="28" w:line="350" w:lineRule="auto"/>
        <w:ind w:left="-15" w:firstLine="639"/>
        <w:rPr>
          <w:rFonts w:hint="default" w:ascii="Times New Roman" w:hAnsi="Times New Roman" w:eastAsia="Times New Roman" w:cs="Times New Roman"/>
          <w:lang w:val="en-US" w:eastAsia="zh-CN"/>
        </w:rPr>
      </w:pPr>
      <w:r>
        <w:rPr>
          <w:rFonts w:ascii="仿宋" w:hAnsi="仿宋" w:eastAsia="仿宋" w:cs="仿宋"/>
          <w:sz w:val="32"/>
        </w:rPr>
        <w:t>显示待初审、待复审人数（详细信息仅显示部分条目，如需审核建议进入单位审核功能进行操作）。</w:t>
      </w:r>
      <w:r>
        <w:rPr>
          <w:rFonts w:ascii="Times New Roman" w:hAnsi="Times New Roman" w:eastAsia="Times New Roman" w:cs="Times New Roman"/>
          <w:sz w:val="32"/>
        </w:rPr>
        <w:t xml:space="preserve"> </w:t>
      </w:r>
    </w:p>
    <w:p>
      <w:pPr>
        <w:pStyle w:val="3"/>
        <w:numPr>
          <w:ilvl w:val="0"/>
          <w:numId w:val="4"/>
        </w:numPr>
        <w:bidi w:val="0"/>
        <w:ind w:left="11" w:leftChars="0" w:firstLine="11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bookmarkStart w:id="17" w:name="_Toc5118"/>
      <w:r>
        <w:rPr>
          <w:rFonts w:hint="eastAsia"/>
          <w:lang w:val="en-US" w:eastAsia="zh-CN"/>
        </w:rPr>
        <w:t>申报材料审核</w:t>
      </w:r>
      <w:bookmarkEnd w:id="17"/>
    </w:p>
    <w:p>
      <w:pPr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20" w:firstLineChars="100"/>
        <w:jc w:val="left"/>
        <w:textAlignment w:val="auto"/>
        <w:outlineLvl w:val="2"/>
        <w:rPr>
          <w:rFonts w:hint="default"/>
          <w:lang w:val="en-US" w:eastAsia="zh-CN"/>
        </w:rPr>
      </w:pPr>
      <w:bookmarkStart w:id="18" w:name="_Toc3264"/>
      <w:bookmarkStart w:id="19" w:name="_Toc701"/>
      <w:r>
        <w:rPr>
          <w:lang w:val="en-US" w:eastAsia="zh-CN"/>
        </w:rPr>
        <w:t>本单位人员审核</w:t>
      </w:r>
      <w:bookmarkEnd w:id="18"/>
      <w:bookmarkEnd w:id="19"/>
      <w:r>
        <w:rPr>
          <w:lang w:val="en-US" w:eastAsia="zh-CN"/>
        </w:rPr>
        <w:t xml:space="preserve"> </w:t>
      </w:r>
    </w:p>
    <w:p>
      <w:pPr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20" w:leftChars="0" w:firstLine="0" w:firstLineChars="0"/>
        <w:jc w:val="left"/>
        <w:textAlignment w:val="auto"/>
        <w:outlineLvl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初审、复审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</w:pPr>
      <w:r>
        <w:rPr>
          <w:lang w:val="en-US" w:eastAsia="zh-CN"/>
        </w:rPr>
        <w:t>审核本单位（不包含下级单位）申报职称的人员申报信息。如图</w:t>
      </w:r>
      <w:r>
        <w:rPr>
          <w:rFonts w:hint="eastAsia"/>
          <w:lang w:val="en-US" w:eastAsia="zh-CN"/>
        </w:rPr>
        <w:t>2-2-1、图2-2-2所示</w:t>
      </w:r>
      <w:r>
        <w:rPr>
          <w:lang w:val="en-US" w:eastAsia="zh-CN"/>
        </w:rPr>
        <w:t xml:space="preserve">：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70500" cy="1619250"/>
            <wp:effectExtent l="0" t="0" r="2540" b="11430"/>
            <wp:docPr id="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图2-2-1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/>
          <w:lang w:val="en-US" w:eastAsia="zh-CN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74310" cy="1325245"/>
            <wp:effectExtent l="0" t="0" r="13970" b="635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2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图2-2-2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 w:ascii="仿宋" w:hAnsi="仿宋" w:eastAsia="仿宋" w:cs="仿宋"/>
          <w:sz w:val="32"/>
          <w:lang w:val="en-US" w:eastAsia="zh-CN"/>
        </w:rPr>
      </w:pPr>
      <w:r>
        <w:rPr>
          <w:rFonts w:ascii="仿宋" w:hAnsi="仿宋" w:eastAsia="仿宋" w:cs="仿宋"/>
          <w:sz w:val="32"/>
        </w:rPr>
        <w:t>点击申报人信息右边【审核】，弹出申报人申报详细信息页面，界面左边显示申报人所填信息，可以直接在右边对话框</w:t>
      </w:r>
      <w:r>
        <w:rPr>
          <w:rFonts w:hint="eastAsia" w:ascii="仿宋" w:hAnsi="仿宋" w:cs="仿宋"/>
          <w:sz w:val="32"/>
          <w:lang w:val="en-US" w:eastAsia="zh-CN"/>
        </w:rPr>
        <w:t>中</w:t>
      </w:r>
      <w:r>
        <w:rPr>
          <w:rFonts w:ascii="仿宋" w:hAnsi="仿宋" w:eastAsia="仿宋" w:cs="仿宋"/>
          <w:sz w:val="32"/>
        </w:rPr>
        <w:t>输入审核意见</w:t>
      </w:r>
      <w:r>
        <w:rPr>
          <w:rFonts w:hint="eastAsia" w:ascii="仿宋" w:hAnsi="仿宋" w:cs="仿宋"/>
          <w:sz w:val="32"/>
          <w:lang w:eastAsia="zh-CN"/>
        </w:rPr>
        <w:t>，</w:t>
      </w:r>
      <w:r>
        <w:rPr>
          <w:rFonts w:hint="eastAsia" w:ascii="仿宋" w:hAnsi="仿宋" w:cs="仿宋"/>
          <w:sz w:val="32"/>
          <w:lang w:val="en-US" w:eastAsia="zh-CN"/>
        </w:rPr>
        <w:t>如图2-2-3所示：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414010" cy="1984375"/>
            <wp:effectExtent l="0" t="0" r="11430" b="12065"/>
            <wp:docPr id="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1401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图2-2-3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常用意见设置和常用意见</w:t>
      </w:r>
      <w:r>
        <w:rPr>
          <w:rFonts w:hint="eastAsia" w:ascii="仿宋" w:hAnsi="仿宋" w:cs="仿宋"/>
          <w:sz w:val="32"/>
          <w:lang w:eastAsia="zh-CN"/>
        </w:rPr>
        <w:t>：</w:t>
      </w:r>
      <w:r>
        <w:rPr>
          <w:rFonts w:ascii="仿宋" w:hAnsi="仿宋" w:eastAsia="仿宋" w:cs="仿宋"/>
          <w:sz w:val="32"/>
        </w:rPr>
        <w:t xml:space="preserve">对于审核中经常遇到的问题，可以在常用意见设置中编辑相应内容。编辑完成并保存后，审核中可以点击旁边常用意见下拉菜单，选择相应语句后直接添加该审核意见。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ind w:left="0" w:leftChars="0" w:firstLine="640" w:firstLineChars="200"/>
        <w:jc w:val="left"/>
        <w:textAlignment w:val="auto"/>
        <w:rPr>
          <w:rFonts w:ascii="仿宋" w:hAnsi="仿宋" w:eastAsia="仿宋" w:cs="仿宋"/>
          <w:sz w:val="32"/>
        </w:rPr>
      </w:pPr>
      <w:r>
        <w:rPr>
          <w:rFonts w:hint="eastAsia" w:ascii="仿宋" w:hAnsi="仿宋" w:cs="仿宋"/>
          <w:sz w:val="32"/>
          <w:lang w:val="en-US" w:eastAsia="zh-CN"/>
        </w:rPr>
        <w:t>【审批</w:t>
      </w:r>
      <w:r>
        <w:rPr>
          <w:rFonts w:ascii="仿宋" w:hAnsi="仿宋" w:eastAsia="仿宋" w:cs="仿宋"/>
          <w:sz w:val="32"/>
        </w:rPr>
        <w:t>流程</w:t>
      </w:r>
      <w:r>
        <w:rPr>
          <w:rFonts w:hint="eastAsia" w:ascii="仿宋" w:hAnsi="仿宋" w:cs="仿宋"/>
          <w:sz w:val="32"/>
          <w:lang w:eastAsia="zh-CN"/>
        </w:rPr>
        <w:t>】：</w:t>
      </w:r>
      <w:r>
        <w:rPr>
          <w:rFonts w:ascii="仿宋" w:hAnsi="仿宋" w:eastAsia="仿宋" w:cs="仿宋"/>
          <w:sz w:val="32"/>
        </w:rPr>
        <w:t>可以查询该申报信息的提交申报流程及审核意见。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ind w:left="0" w:leftChars="0" w:firstLine="640" w:firstLineChars="200"/>
        <w:jc w:val="left"/>
        <w:textAlignment w:val="auto"/>
        <w:rPr>
          <w:rFonts w:hint="eastAsia" w:ascii="仿宋" w:hAnsi="仿宋" w:cs="仿宋"/>
          <w:sz w:val="32"/>
          <w:lang w:val="en-US" w:eastAsia="zh-CN"/>
        </w:rPr>
      </w:pPr>
      <w:r>
        <w:rPr>
          <w:rFonts w:hint="eastAsia" w:ascii="仿宋" w:hAnsi="仿宋" w:cs="仿宋"/>
          <w:sz w:val="32"/>
          <w:lang w:val="en-US" w:eastAsia="zh-CN"/>
        </w:rPr>
        <w:t>对于材料审核无误的申报人信息，点击【通过】会弹出单位推荐和公示信息填写页面，</w:t>
      </w:r>
      <w:r>
        <w:rPr>
          <w:rFonts w:hint="eastAsia" w:ascii="仿宋" w:hAnsi="仿宋" w:cs="仿宋"/>
          <w:sz w:val="32"/>
          <w:lang w:val="en-US" w:eastAsia="zh-CN"/>
        </w:rPr>
        <w:t>如无此项需求，可不填写。填写相关信息</w:t>
      </w:r>
      <w:r>
        <w:rPr>
          <w:rFonts w:hint="eastAsia" w:ascii="仿宋" w:hAnsi="仿宋" w:cs="仿宋"/>
          <w:sz w:val="32"/>
          <w:lang w:val="en-US" w:eastAsia="zh-CN"/>
        </w:rPr>
        <w:t>后上传</w:t>
      </w:r>
      <w:r>
        <w:rPr>
          <w:rFonts w:hint="eastAsia" w:ascii="仿宋" w:hAnsi="仿宋" w:cs="仿宋"/>
          <w:sz w:val="32"/>
          <w:lang w:val="en-US" w:eastAsia="zh-CN"/>
        </w:rPr>
        <w:t>单位公示证明材料，点击【确定】按钮即可提交下已审核节点。如图2-2-4所示：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left"/>
        <w:textAlignment w:val="auto"/>
      </w:pPr>
      <w:r>
        <w:drawing>
          <wp:inline distT="0" distB="0" distL="114300" distR="114300">
            <wp:extent cx="5269230" cy="2640965"/>
            <wp:effectExtent l="0" t="0" r="3810" b="10795"/>
            <wp:docPr id="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4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图2-2-4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填写说明：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" w:hAnsi="仿宋" w:cs="仿宋"/>
          <w:sz w:val="32"/>
          <w:lang w:val="en-US" w:eastAsia="zh-CN"/>
        </w:rPr>
      </w:pPr>
      <w:r>
        <w:rPr>
          <w:rFonts w:hint="eastAsia" w:ascii="仿宋" w:hAnsi="仿宋" w:cs="仿宋"/>
          <w:sz w:val="32"/>
          <w:lang w:val="en-US" w:eastAsia="zh-CN"/>
        </w:rPr>
        <w:t>【下一环节审核单位】：单位审核可以按照系统配置好的审核流程，选择默认的下一环节审核单位。例如：乐山市市属的学校提交下一个环节审核单位是乐山市教育局（主管部门）审核。若存在需要其他单位审核的情况下，在默认的下一审核节点前，单位可以增加其他单位进行审核。</w:t>
      </w:r>
    </w:p>
    <w:p>
      <w:pPr>
        <w:keepNext w:val="0"/>
        <w:keepLines w:val="0"/>
        <w:widowControl/>
        <w:suppressLineNumbers w:val="0"/>
        <w:ind w:firstLine="643" w:firstLineChars="200"/>
        <w:jc w:val="left"/>
        <w:rPr>
          <w:rFonts w:hint="eastAsia"/>
          <w:b/>
          <w:bCs/>
          <w:color w:val="FF0000"/>
          <w:highlight w:val="none"/>
          <w:lang w:val="en-US" w:eastAsia="zh-CN"/>
        </w:rPr>
      </w:pPr>
      <w:r>
        <w:rPr>
          <w:rFonts w:hint="eastAsia"/>
          <w:b/>
          <w:bCs/>
          <w:color w:val="FF0000"/>
          <w:highlight w:val="none"/>
          <w:lang w:val="en-US" w:eastAsia="zh-CN"/>
        </w:rPr>
        <w:t>注：对全面实行岗位管理的事业单位，必须上传“事业单位岗位情况表”。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" w:line="347" w:lineRule="auto"/>
        <w:ind w:firstLine="640" w:firstLineChars="200"/>
        <w:jc w:val="left"/>
        <w:textAlignment w:val="auto"/>
        <w:rPr>
          <w:rFonts w:hint="default" w:ascii="Times New Roman" w:hAnsi="Times New Roman" w:eastAsia="宋体" w:cs="Times New Roman"/>
          <w:sz w:val="32"/>
          <w:lang w:val="en-US" w:eastAsia="zh-CN"/>
        </w:rPr>
      </w:pPr>
      <w:r>
        <w:rPr>
          <w:rFonts w:ascii="仿宋" w:hAnsi="仿宋" w:eastAsia="仿宋" w:cs="仿宋"/>
          <w:sz w:val="32"/>
        </w:rPr>
        <w:t>点击【</w:t>
      </w:r>
      <w:r>
        <w:rPr>
          <w:rFonts w:hint="eastAsia" w:ascii="仿宋" w:hAnsi="仿宋" w:cs="仿宋"/>
          <w:sz w:val="32"/>
          <w:lang w:val="en-US" w:eastAsia="zh-CN"/>
        </w:rPr>
        <w:t>退回</w:t>
      </w:r>
      <w:r>
        <w:rPr>
          <w:rFonts w:ascii="仿宋" w:hAnsi="仿宋" w:eastAsia="仿宋" w:cs="仿宋"/>
          <w:sz w:val="32"/>
        </w:rPr>
        <w:t>】应在下方</w:t>
      </w:r>
      <w:r>
        <w:rPr>
          <w:rFonts w:hint="eastAsia" w:ascii="仿宋" w:hAnsi="仿宋" w:cs="仿宋"/>
          <w:sz w:val="32"/>
          <w:lang w:val="en-US" w:eastAsia="zh-CN"/>
        </w:rPr>
        <w:t>选择退回截止时间，并在</w:t>
      </w:r>
      <w:r>
        <w:rPr>
          <w:rFonts w:ascii="仿宋" w:hAnsi="仿宋" w:eastAsia="仿宋" w:cs="仿宋"/>
          <w:sz w:val="32"/>
        </w:rPr>
        <w:t>对话框</w:t>
      </w:r>
      <w:r>
        <w:rPr>
          <w:rFonts w:hint="eastAsia" w:ascii="仿宋" w:hAnsi="仿宋" w:cs="仿宋"/>
          <w:sz w:val="32"/>
          <w:lang w:val="en-US" w:eastAsia="zh-CN"/>
        </w:rPr>
        <w:t>中</w:t>
      </w:r>
      <w:r>
        <w:rPr>
          <w:rFonts w:ascii="仿宋" w:hAnsi="仿宋" w:eastAsia="仿宋" w:cs="仿宋"/>
          <w:sz w:val="32"/>
        </w:rPr>
        <w:t>填入</w:t>
      </w:r>
      <w:r>
        <w:rPr>
          <w:rFonts w:hint="eastAsia" w:ascii="仿宋" w:hAnsi="仿宋" w:cs="仿宋"/>
          <w:sz w:val="32"/>
          <w:lang w:val="en-US" w:eastAsia="zh-CN"/>
        </w:rPr>
        <w:t>退回</w:t>
      </w:r>
      <w:r>
        <w:rPr>
          <w:rFonts w:ascii="仿宋" w:hAnsi="仿宋" w:eastAsia="仿宋" w:cs="仿宋"/>
          <w:sz w:val="32"/>
        </w:rPr>
        <w:t>原因后点击确认退回。该信息将直接退回至申报人，</w:t>
      </w:r>
      <w:r>
        <w:rPr>
          <w:rFonts w:hint="eastAsia" w:ascii="仿宋" w:hAnsi="仿宋" w:cs="仿宋"/>
          <w:sz w:val="32"/>
          <w:lang w:val="en-US" w:eastAsia="zh-CN"/>
        </w:rPr>
        <w:t>申报人</w:t>
      </w:r>
      <w:r>
        <w:rPr>
          <w:rFonts w:ascii="仿宋" w:hAnsi="仿宋" w:eastAsia="仿宋" w:cs="仿宋"/>
          <w:sz w:val="32"/>
        </w:rPr>
        <w:t>需按要求修改后</w:t>
      </w:r>
      <w:r>
        <w:rPr>
          <w:rFonts w:hint="eastAsia" w:ascii="仿宋" w:hAnsi="仿宋" w:cs="仿宋"/>
          <w:sz w:val="32"/>
          <w:lang w:val="en-US" w:eastAsia="zh-CN"/>
        </w:rPr>
        <w:t>在修改提交截止时间之前</w:t>
      </w:r>
      <w:r>
        <w:rPr>
          <w:rFonts w:ascii="仿宋" w:hAnsi="仿宋" w:eastAsia="仿宋" w:cs="仿宋"/>
          <w:sz w:val="32"/>
        </w:rPr>
        <w:t>重新提交。</w:t>
      </w:r>
      <w:r>
        <w:rPr>
          <w:rFonts w:ascii="Times New Roman" w:hAnsi="Times New Roman" w:eastAsia="Times New Roman" w:cs="Times New Roman"/>
          <w:sz w:val="32"/>
        </w:rPr>
        <w:t xml:space="preserve"> </w:t>
      </w:r>
      <w:r>
        <w:rPr>
          <w:rFonts w:hint="eastAsia" w:ascii="Times New Roman" w:hAnsi="Times New Roman" w:eastAsia="宋体" w:cs="Times New Roman"/>
          <w:sz w:val="32"/>
          <w:lang w:val="en-US" w:eastAsia="zh-CN"/>
        </w:rPr>
        <w:t>如图2-2-5所示：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" w:line="347" w:lineRule="auto"/>
        <w:jc w:val="both"/>
        <w:textAlignment w:val="auto"/>
      </w:pPr>
      <w:r>
        <w:drawing>
          <wp:inline distT="0" distB="0" distL="114300" distR="114300">
            <wp:extent cx="5260975" cy="2395220"/>
            <wp:effectExtent l="0" t="0" r="12065" b="12700"/>
            <wp:docPr id="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39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" w:line="347" w:lineRule="auto"/>
        <w:jc w:val="center"/>
        <w:textAlignment w:val="auto"/>
        <w:rPr>
          <w:rFonts w:hint="default" w:ascii="Times New Roman" w:hAnsi="Times New Roman" w:eastAsia="Times New Roman" w:cs="Times New Roman"/>
          <w:sz w:val="32"/>
          <w:lang w:val="en-US"/>
        </w:rPr>
      </w:pPr>
      <w:r>
        <w:rPr>
          <w:rFonts w:hint="eastAsia"/>
          <w:lang w:val="en-US" w:eastAsia="zh-CN"/>
        </w:rPr>
        <w:t>图2-2-5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" w:line="347" w:lineRule="auto"/>
        <w:ind w:left="0" w:leftChars="0" w:firstLine="640" w:firstLineChars="200"/>
        <w:jc w:val="left"/>
        <w:textAlignment w:val="auto"/>
        <w:rPr>
          <w:rFonts w:hint="default" w:ascii="仿宋" w:hAnsi="仿宋" w:cs="仿宋"/>
          <w:sz w:val="32"/>
          <w:lang w:val="en-US" w:eastAsia="zh-CN"/>
        </w:rPr>
      </w:pPr>
      <w:r>
        <w:rPr>
          <w:rFonts w:ascii="仿宋" w:hAnsi="仿宋" w:eastAsia="仿宋" w:cs="仿宋"/>
          <w:sz w:val="32"/>
        </w:rPr>
        <w:t>点击【</w:t>
      </w:r>
      <w:r>
        <w:rPr>
          <w:rFonts w:hint="eastAsia" w:ascii="仿宋" w:hAnsi="仿宋" w:cs="仿宋"/>
          <w:sz w:val="32"/>
          <w:lang w:val="en-US" w:eastAsia="zh-CN"/>
        </w:rPr>
        <w:t>不通过</w:t>
      </w:r>
      <w:r>
        <w:rPr>
          <w:rFonts w:ascii="仿宋" w:hAnsi="仿宋" w:eastAsia="仿宋" w:cs="仿宋"/>
          <w:sz w:val="32"/>
        </w:rPr>
        <w:t>】</w:t>
      </w:r>
      <w:r>
        <w:rPr>
          <w:rFonts w:hint="eastAsia" w:ascii="仿宋" w:hAnsi="仿宋" w:cs="仿宋"/>
          <w:sz w:val="32"/>
          <w:lang w:eastAsia="zh-CN"/>
        </w:rPr>
        <w:t>，</w:t>
      </w:r>
      <w:r>
        <w:rPr>
          <w:rFonts w:hint="eastAsia" w:ascii="仿宋" w:hAnsi="仿宋" w:cs="仿宋"/>
          <w:sz w:val="32"/>
          <w:lang w:val="en-US" w:eastAsia="zh-CN"/>
        </w:rPr>
        <w:t>需填写审核意见，</w:t>
      </w:r>
      <w:r>
        <w:rPr>
          <w:rFonts w:ascii="仿宋" w:hAnsi="仿宋" w:eastAsia="仿宋" w:cs="仿宋"/>
          <w:sz w:val="32"/>
        </w:rPr>
        <w:t>点击确认</w:t>
      </w:r>
      <w:r>
        <w:rPr>
          <w:rFonts w:hint="eastAsia" w:ascii="仿宋" w:hAnsi="仿宋" w:cs="仿宋"/>
          <w:sz w:val="32"/>
          <w:lang w:eastAsia="zh-CN"/>
        </w:rPr>
        <w:t>，</w:t>
      </w:r>
      <w:r>
        <w:rPr>
          <w:rFonts w:hint="eastAsia" w:ascii="仿宋" w:hAnsi="仿宋" w:cs="仿宋"/>
          <w:sz w:val="32"/>
          <w:lang w:val="en-US" w:eastAsia="zh-CN"/>
        </w:rPr>
        <w:t>会弹出弹窗提示操作人是否执行本操作</w:t>
      </w:r>
      <w:r>
        <w:rPr>
          <w:rFonts w:ascii="仿宋" w:hAnsi="仿宋" w:eastAsia="仿宋" w:cs="仿宋"/>
          <w:sz w:val="32"/>
        </w:rPr>
        <w:t>。</w:t>
      </w:r>
      <w:r>
        <w:rPr>
          <w:rFonts w:hint="eastAsia" w:ascii="仿宋" w:hAnsi="仿宋" w:cs="仿宋"/>
          <w:sz w:val="32"/>
          <w:lang w:val="en-US" w:eastAsia="zh-CN"/>
        </w:rPr>
        <w:t>执行后该申报人本年度评审申报将至为不通过，该年度无法再次进行申报。为避免工作人员操作失误，可在不通过列表中对申报人进行重新审核。</w:t>
      </w:r>
    </w:p>
    <w:p>
      <w:pPr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8" w:line="347" w:lineRule="auto"/>
        <w:ind w:left="320" w:leftChars="0" w:firstLine="0" w:firstLineChars="0"/>
        <w:jc w:val="left"/>
        <w:textAlignment w:val="auto"/>
        <w:outlineLvl w:val="3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已上报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ind w:left="0" w:leftChars="0" w:firstLine="640" w:firstLineChars="200"/>
        <w:jc w:val="left"/>
        <w:textAlignment w:val="auto"/>
        <w:rPr>
          <w:rFonts w:ascii="Times New Roman" w:hAnsi="Times New Roman" w:eastAsia="Times New Roman" w:cs="Times New Roman"/>
          <w:sz w:val="32"/>
        </w:rPr>
      </w:pPr>
      <w:r>
        <w:rPr>
          <w:rFonts w:ascii="仿宋" w:hAnsi="仿宋" w:eastAsia="仿宋" w:cs="仿宋"/>
          <w:sz w:val="32"/>
        </w:rPr>
        <w:t>已经本单位审核并提交的申报人信息，如发现问题遗漏且上一级尚未操作，可点击【撤回】后补充操作</w:t>
      </w:r>
      <w:r>
        <w:rPr>
          <w:rFonts w:hint="eastAsia" w:ascii="仿宋" w:hAnsi="仿宋" w:cs="仿宋"/>
          <w:sz w:val="32"/>
          <w:lang w:eastAsia="zh-CN"/>
        </w:rPr>
        <w:t>；</w:t>
      </w:r>
      <w:r>
        <w:rPr>
          <w:rFonts w:hint="eastAsia" w:ascii="仿宋" w:hAnsi="仿宋" w:cs="仿宋"/>
          <w:sz w:val="32"/>
          <w:lang w:val="en-US" w:eastAsia="zh-CN"/>
        </w:rPr>
        <w:t>可点击审批流程查看当前申报人审核进度，如图2-2-6、图2-2-7所示：</w:t>
      </w:r>
      <w:r>
        <w:rPr>
          <w:rFonts w:ascii="Times New Roman" w:hAnsi="Times New Roman" w:eastAsia="Times New Roman" w:cs="Times New Roman"/>
          <w:sz w:val="32"/>
        </w:rPr>
        <w:t xml:space="preserve">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50" w:lineRule="auto"/>
        <w:ind w:left="0" w:leftChars="0" w:firstLine="640" w:firstLineChars="200"/>
        <w:jc w:val="left"/>
        <w:textAlignment w:val="auto"/>
        <w:rPr>
          <w:rFonts w:ascii="Times New Roman" w:hAnsi="Times New Roman" w:eastAsia="Times New Roman" w:cs="Times New Roman"/>
          <w:sz w:val="32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left"/>
        <w:textAlignment w:val="auto"/>
      </w:pPr>
      <w:r>
        <w:drawing>
          <wp:inline distT="0" distB="0" distL="114300" distR="114300">
            <wp:extent cx="5269230" cy="2152650"/>
            <wp:effectExtent l="0" t="0" r="3810" b="11430"/>
            <wp:docPr id="2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center"/>
        <w:textAlignment w:val="auto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图2-2-6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left"/>
        <w:textAlignment w:val="auto"/>
      </w:pPr>
      <w:r>
        <w:drawing>
          <wp:inline distT="0" distB="0" distL="114300" distR="114300">
            <wp:extent cx="5268595" cy="2362200"/>
            <wp:effectExtent l="0" t="0" r="4445" b="0"/>
            <wp:docPr id="5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1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图2-2-7</w:t>
      </w:r>
    </w:p>
    <w:p>
      <w:pPr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ind w:left="320" w:leftChars="0" w:firstLine="0" w:firstLineChars="0"/>
        <w:jc w:val="both"/>
        <w:textAlignment w:val="auto"/>
        <w:outlineLvl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已退回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ind w:left="0" w:leftChars="0" w:firstLine="640" w:firstLineChars="200"/>
        <w:jc w:val="left"/>
        <w:textAlignment w:val="auto"/>
        <w:outlineLvl w:val="9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对退回修改时间较长仍未再次提交的申报人信息，可在此查看其当前审批流程，便于后续跟进或提醒</w:t>
      </w:r>
      <w:r>
        <w:rPr>
          <w:rFonts w:hint="eastAsia" w:ascii="仿宋" w:hAnsi="仿宋" w:cs="仿宋"/>
          <w:sz w:val="32"/>
          <w:lang w:eastAsia="zh-CN"/>
        </w:rPr>
        <w:t>；</w:t>
      </w:r>
      <w:r>
        <w:rPr>
          <w:rFonts w:hint="eastAsia" w:ascii="仿宋" w:hAnsi="仿宋" w:cs="仿宋"/>
          <w:sz w:val="32"/>
          <w:lang w:val="en-US" w:eastAsia="zh-CN"/>
        </w:rPr>
        <w:t>对退回修改时间已过而申报人还未修改提交，可点击【修改提交截止时间】对修改提交截止时间进行修改，如图2-2-8、图2-2-9所示：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left"/>
        <w:textAlignment w:val="auto"/>
        <w:outlineLvl w:val="9"/>
      </w:pPr>
      <w:r>
        <w:drawing>
          <wp:inline distT="0" distB="0" distL="114300" distR="114300">
            <wp:extent cx="5269230" cy="2200275"/>
            <wp:effectExtent l="0" t="0" r="3810" b="9525"/>
            <wp:docPr id="9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2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center"/>
        <w:textAlignment w:val="auto"/>
        <w:outlineLvl w:val="9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图2-2-8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left"/>
        <w:textAlignment w:val="auto"/>
        <w:outlineLvl w:val="9"/>
      </w:pPr>
      <w:r>
        <w:drawing>
          <wp:inline distT="0" distB="0" distL="114300" distR="114300">
            <wp:extent cx="5271135" cy="2330450"/>
            <wp:effectExtent l="0" t="0" r="1905" b="1270"/>
            <wp:docPr id="7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33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center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图2-2-9</w:t>
      </w:r>
    </w:p>
    <w:p>
      <w:pPr>
        <w:pageBreakBefore w:val="0"/>
        <w:widowControl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ind w:left="320" w:leftChars="0" w:firstLine="0" w:firstLineChars="0"/>
        <w:jc w:val="both"/>
        <w:textAlignment w:val="auto"/>
        <w:outlineLvl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不通过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ind w:left="0" w:leftChars="0" w:firstLine="640" w:firstLineChars="200"/>
        <w:jc w:val="left"/>
        <w:textAlignment w:val="auto"/>
        <w:outlineLvl w:val="9"/>
        <w:rPr>
          <w:rFonts w:ascii="仿宋" w:hAnsi="仿宋" w:eastAsia="仿宋" w:cs="仿宋"/>
          <w:sz w:val="32"/>
        </w:rPr>
      </w:pPr>
      <w:r>
        <w:rPr>
          <w:rFonts w:hint="eastAsia" w:ascii="仿宋" w:hAnsi="仿宋" w:cs="仿宋"/>
          <w:sz w:val="32"/>
          <w:lang w:val="en-US" w:eastAsia="zh-CN"/>
        </w:rPr>
        <w:t>审核不通过的人员可以在不通过模块进行查看，当对该申报人进行审核操作失误或想更改审核结果时，可以对其进行重新审核，审核流程与之前相同，如图2-2-10所示：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left"/>
        <w:textAlignment w:val="auto"/>
      </w:pPr>
      <w:r>
        <w:drawing>
          <wp:inline distT="0" distB="0" distL="114300" distR="114300">
            <wp:extent cx="5263515" cy="2051685"/>
            <wp:effectExtent l="0" t="0" r="9525" b="5715"/>
            <wp:docPr id="9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9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82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图2-2-10</w:t>
      </w:r>
    </w:p>
    <w:p>
      <w:pPr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72"/>
        <w:ind w:left="0" w:leftChars="0" w:firstLine="320" w:firstLineChars="100"/>
        <w:jc w:val="left"/>
        <w:textAlignment w:val="auto"/>
        <w:outlineLvl w:val="2"/>
      </w:pPr>
      <w:bookmarkStart w:id="20" w:name="_Toc19416"/>
      <w:bookmarkStart w:id="21" w:name="_Toc19565"/>
      <w:r>
        <w:t>下级单位人员审核</w:t>
      </w:r>
      <w:bookmarkEnd w:id="20"/>
      <w:bookmarkEnd w:id="21"/>
      <w:r>
        <w:t xml:space="preserve"> </w:t>
      </w:r>
    </w:p>
    <w:p>
      <w:pPr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ind w:firstLine="320" w:firstLineChars="100"/>
        <w:jc w:val="left"/>
        <w:textAlignment w:val="auto"/>
        <w:outlineLvl w:val="3"/>
        <w:rPr>
          <w:rFonts w:hint="default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初审、复审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lang w:val="en-US" w:eastAsia="zh-CN"/>
        </w:rPr>
      </w:pPr>
      <w:r>
        <w:rPr>
          <w:rFonts w:ascii="仿宋" w:hAnsi="仿宋" w:eastAsia="仿宋" w:cs="仿宋"/>
          <w:sz w:val="32"/>
        </w:rPr>
        <w:t>在</w:t>
      </w:r>
      <w:r>
        <w:rPr>
          <w:rFonts w:hint="eastAsia" w:ascii="仿宋" w:hAnsi="仿宋" w:eastAsia="仿宋" w:cs="仿宋"/>
          <w:sz w:val="32"/>
          <w:lang w:eastAsia="zh-CN"/>
        </w:rPr>
        <w:t>【</w:t>
      </w:r>
      <w:r>
        <w:rPr>
          <w:rFonts w:hint="eastAsia" w:ascii="仿宋" w:hAnsi="仿宋" w:eastAsia="仿宋" w:cs="仿宋"/>
          <w:sz w:val="32"/>
          <w:lang w:val="en-US" w:eastAsia="zh-CN"/>
        </w:rPr>
        <w:t>下级单位审核模块</w:t>
      </w:r>
      <w:r>
        <w:rPr>
          <w:rFonts w:hint="eastAsia" w:ascii="仿宋" w:hAnsi="仿宋" w:eastAsia="仿宋" w:cs="仿宋"/>
          <w:sz w:val="32"/>
          <w:lang w:eastAsia="zh-CN"/>
        </w:rPr>
        <w:t>】</w:t>
      </w:r>
      <w:r>
        <w:rPr>
          <w:rFonts w:ascii="仿宋" w:hAnsi="仿宋" w:eastAsia="仿宋" w:cs="仿宋"/>
          <w:sz w:val="32"/>
        </w:rPr>
        <w:t>审核本单位的下级单位提交的申报人信息（审核功能同本单位人员审核，不需填写推荐和公示情况等）。</w:t>
      </w:r>
      <w:r>
        <w:rPr>
          <w:rFonts w:hint="eastAsia" w:ascii="仿宋" w:hAnsi="仿宋" w:cs="仿宋"/>
          <w:sz w:val="32"/>
          <w:lang w:val="en-US" w:eastAsia="zh-CN"/>
        </w:rPr>
        <w:t>如图2-2-11所示：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jc w:val="left"/>
        <w:textAlignment w:val="auto"/>
      </w:pPr>
      <w:r>
        <w:drawing>
          <wp:inline distT="0" distB="0" distL="114300" distR="114300">
            <wp:extent cx="5260975" cy="2457450"/>
            <wp:effectExtent l="0" t="0" r="12065" b="11430"/>
            <wp:docPr id="9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2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图2-2-11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jc w:val="center"/>
        <w:textAlignment w:val="auto"/>
        <w:rPr>
          <w:rFonts w:hint="eastAsia"/>
          <w:lang w:val="en-US" w:eastAsia="zh-CN"/>
        </w:rPr>
      </w:pP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ind w:left="0" w:leftChars="0" w:firstLine="320" w:firstLineChars="100"/>
        <w:jc w:val="both"/>
        <w:textAlignment w:val="auto"/>
        <w:outlineLvl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已上报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ind w:firstLine="640" w:firstLineChars="200"/>
        <w:jc w:val="both"/>
        <w:textAlignment w:val="auto"/>
        <w:rPr>
          <w:rFonts w:hint="default" w:ascii="仿宋" w:hAnsi="仿宋" w:cs="仿宋"/>
          <w:sz w:val="32"/>
          <w:lang w:val="en-US" w:eastAsia="zh-CN"/>
        </w:rPr>
      </w:pPr>
      <w:r>
        <w:rPr>
          <w:rFonts w:ascii="仿宋" w:hAnsi="仿宋" w:eastAsia="仿宋" w:cs="仿宋"/>
          <w:sz w:val="32"/>
        </w:rPr>
        <w:t>已经本单位审核并提交的申报人信息，如发现问题遗漏且上一级尚未操作，可点击【撤回】后补充操作</w:t>
      </w:r>
      <w:r>
        <w:rPr>
          <w:rFonts w:hint="eastAsia" w:ascii="仿宋" w:hAnsi="仿宋" w:cs="仿宋"/>
          <w:sz w:val="32"/>
          <w:lang w:eastAsia="zh-CN"/>
        </w:rPr>
        <w:t>；</w:t>
      </w:r>
      <w:r>
        <w:rPr>
          <w:rFonts w:hint="eastAsia" w:ascii="仿宋" w:hAnsi="仿宋" w:cs="仿宋"/>
          <w:sz w:val="32"/>
          <w:lang w:val="en-US" w:eastAsia="zh-CN"/>
        </w:rPr>
        <w:t>可点击审批流程查看当前申报人审核进度。如图2-2-12所示：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jc w:val="both"/>
        <w:textAlignment w:val="auto"/>
      </w:pPr>
      <w:r>
        <w:drawing>
          <wp:inline distT="0" distB="0" distL="114300" distR="114300">
            <wp:extent cx="5266690" cy="2072005"/>
            <wp:effectExtent l="0" t="0" r="6350" b="635"/>
            <wp:docPr id="163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54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图2-2-12</w:t>
      </w:r>
    </w:p>
    <w:p>
      <w:pPr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ind w:left="0" w:leftChars="0" w:firstLine="320" w:firstLineChars="100"/>
        <w:jc w:val="both"/>
        <w:textAlignment w:val="auto"/>
        <w:outlineLvl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已退回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退回修改时间较长仍未再次提交的申报人信息，可在此查看其当前审批流程，便于后续跟进或提醒；对退回修改时间已过而申报人还未修改提交，可点击【修改提交截止时间】对修改提交截止时间进行修改。如图2-2-13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63515" cy="1923415"/>
            <wp:effectExtent l="0" t="0" r="9525" b="12065"/>
            <wp:docPr id="164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55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图2-2-13</w:t>
      </w:r>
    </w:p>
    <w:p>
      <w:pPr>
        <w:pageBreakBefore w:val="0"/>
        <w:widowControl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320" w:firstLineChars="100"/>
        <w:jc w:val="left"/>
        <w:textAlignment w:val="auto"/>
        <w:outlineLvl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不通过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" w:hAnsi="仿宋" w:cs="仿宋"/>
          <w:sz w:val="32"/>
          <w:lang w:val="en-US" w:eastAsia="zh-CN"/>
        </w:rPr>
      </w:pPr>
      <w:r>
        <w:rPr>
          <w:rFonts w:hint="eastAsia" w:ascii="仿宋" w:hAnsi="仿宋" w:cs="仿宋"/>
          <w:sz w:val="32"/>
          <w:lang w:val="en-US" w:eastAsia="zh-CN"/>
        </w:rPr>
        <w:t>审核不通过的人员可以在不通过模块进行查看，当对该申报人进行审核操作失误或想更改审核结果时，可以对其进行重新审核，审核流程与之前相同，如图2-2-14所示：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</w:pPr>
      <w:r>
        <w:drawing>
          <wp:inline distT="0" distB="0" distL="114300" distR="114300">
            <wp:extent cx="5266690" cy="1491615"/>
            <wp:effectExtent l="0" t="0" r="6350" b="1905"/>
            <wp:docPr id="165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5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9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图2-2-14</w:t>
      </w:r>
    </w:p>
    <w:p>
      <w:pPr>
        <w:pageBreakBefore w:val="0"/>
        <w:widowControl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72"/>
        <w:ind w:left="0" w:leftChars="0" w:firstLine="320" w:firstLineChars="100"/>
        <w:jc w:val="left"/>
        <w:textAlignment w:val="auto"/>
        <w:outlineLvl w:val="2"/>
        <w:rPr>
          <w:rFonts w:hint="eastAsia"/>
          <w:lang w:val="en-US" w:eastAsia="zh-CN"/>
        </w:rPr>
      </w:pPr>
      <w:bookmarkStart w:id="22" w:name="_Toc19623"/>
      <w:bookmarkStart w:id="23" w:name="_Toc20672"/>
      <w:r>
        <w:rPr>
          <w:rFonts w:hint="eastAsia"/>
          <w:lang w:val="en-US" w:eastAsia="zh-CN"/>
        </w:rPr>
        <w:t>历年上报人员查询</w:t>
      </w:r>
      <w:bookmarkEnd w:id="22"/>
      <w:bookmarkEnd w:id="23"/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本单位审核完成之后，对于所申报的评审活动已经办结的申报人，需要在【历年上报人员查询】模块查看相关申报人的信息，系统支持数据导出</w:t>
      </w:r>
      <w:r>
        <w:rPr>
          <w:rFonts w:hint="eastAsia" w:ascii="仿宋" w:hAnsi="仿宋" w:cs="仿宋"/>
          <w:sz w:val="32"/>
          <w:lang w:val="en-US" w:eastAsia="zh-CN"/>
        </w:rPr>
        <w:t>，查看材料当前所在机构、状态。</w:t>
      </w:r>
      <w:r>
        <w:rPr>
          <w:rFonts w:hint="eastAsia"/>
          <w:lang w:val="en-US" w:eastAsia="zh-CN"/>
        </w:rPr>
        <w:t>如图2-2-15所示：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jc w:val="both"/>
        <w:textAlignment w:val="auto"/>
      </w:pPr>
      <w:r>
        <w:drawing>
          <wp:inline distT="0" distB="0" distL="114300" distR="114300">
            <wp:extent cx="5223510" cy="2169795"/>
            <wp:effectExtent l="0" t="0" r="3810" b="9525"/>
            <wp:docPr id="100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2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23510" cy="216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6" w:line="350" w:lineRule="auto"/>
        <w:ind w:leftChars="100"/>
        <w:jc w:val="center"/>
        <w:textAlignment w:val="auto"/>
        <w:rPr>
          <w:rFonts w:ascii="Times New Roman" w:hAnsi="Times New Roman" w:eastAsia="Times New Roman" w:cs="Times New Roman"/>
          <w:sz w:val="32"/>
        </w:rPr>
      </w:pPr>
      <w:r>
        <w:rPr>
          <w:rFonts w:hint="eastAsia"/>
          <w:lang w:val="en-US" w:eastAsia="zh-CN"/>
        </w:rPr>
        <w:t>图2-2-15</w:t>
      </w:r>
      <w:r>
        <w:rPr>
          <w:rFonts w:ascii="Times New Roman" w:hAnsi="Times New Roman" w:eastAsia="Times New Roman" w:cs="Times New Roman"/>
          <w:sz w:val="32"/>
        </w:rPr>
        <w:t xml:space="preserve"> </w:t>
      </w:r>
    </w:p>
    <w:p>
      <w:pPr>
        <w:pStyle w:val="3"/>
        <w:numPr>
          <w:ilvl w:val="0"/>
          <w:numId w:val="9"/>
        </w:numPr>
        <w:bidi w:val="0"/>
        <w:ind w:left="11" w:leftChars="0" w:firstLine="11" w:firstLineChars="0"/>
      </w:pPr>
      <w:r>
        <w:rPr>
          <w:rFonts w:hint="eastAsia"/>
          <w:lang w:val="en-US" w:eastAsia="zh-CN"/>
        </w:rPr>
        <w:t xml:space="preserve"> </w:t>
      </w:r>
      <w:bookmarkStart w:id="24" w:name="_Toc30222"/>
      <w:r>
        <w:rPr>
          <w:rFonts w:hint="eastAsia"/>
          <w:lang w:val="en-US" w:eastAsia="zh-CN"/>
        </w:rPr>
        <w:t>委托申请审核</w:t>
      </w:r>
      <w:bookmarkEnd w:id="24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ind w:firstLine="640" w:firstLineChars="200"/>
        <w:textAlignment w:val="auto"/>
        <w:rPr>
          <w:rFonts w:hint="eastAsia" w:ascii="Arial" w:hAnsi="Arial"/>
          <w:b w:val="0"/>
          <w:lang w:val="en-US" w:eastAsia="zh-CN"/>
        </w:rPr>
      </w:pPr>
      <w:r>
        <w:rPr>
          <w:rFonts w:hint="eastAsia" w:ascii="Arial" w:hAnsi="Arial"/>
          <w:b w:val="0"/>
          <w:lang w:val="en-US" w:eastAsia="zh-CN"/>
        </w:rPr>
        <w:t>委托评审审核可以查看待审核信息，如图2-3-1所示：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textAlignment w:val="auto"/>
      </w:pPr>
      <w:r>
        <w:drawing>
          <wp:inline distT="0" distB="0" distL="114300" distR="114300">
            <wp:extent cx="5263515" cy="1894840"/>
            <wp:effectExtent l="0" t="0" r="9525" b="10160"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89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图2-3-1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ind w:firstLine="640" w:firstLineChars="200"/>
        <w:textAlignment w:val="auto"/>
        <w:rPr>
          <w:rFonts w:hint="eastAsia" w:ascii="Arial" w:hAnsi="Arial"/>
          <w:b w:val="0"/>
          <w:lang w:val="en-US" w:eastAsia="zh-CN"/>
        </w:rPr>
      </w:pPr>
      <w:r>
        <w:rPr>
          <w:rFonts w:hint="eastAsia" w:ascii="Arial" w:hAnsi="Arial"/>
          <w:b w:val="0"/>
          <w:lang w:val="en-US" w:eastAsia="zh-CN"/>
        </w:rPr>
        <w:t>当审核状态为待审核时，点击【审核】进入审核页面，如图</w:t>
      </w:r>
      <w:r>
        <w:rPr>
          <w:rFonts w:hint="eastAsia" w:ascii="仿宋" w:hAnsi="仿宋" w:cs="仿宋"/>
          <w:sz w:val="32"/>
          <w:lang w:val="en-US" w:eastAsia="zh-CN"/>
        </w:rPr>
        <w:t>2-3-2</w:t>
      </w:r>
      <w:r>
        <w:rPr>
          <w:rFonts w:hint="eastAsia" w:ascii="Arial" w:hAnsi="Arial"/>
          <w:b w:val="0"/>
          <w:lang w:val="en-US" w:eastAsia="zh-CN"/>
        </w:rPr>
        <w:t>所示：</w:t>
      </w:r>
    </w:p>
    <w:p>
      <w:r>
        <w:drawing>
          <wp:inline distT="0" distB="0" distL="114300" distR="114300">
            <wp:extent cx="5271770" cy="2323465"/>
            <wp:effectExtent l="0" t="0" r="1270" b="8255"/>
            <wp:docPr id="1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3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2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图2-3-2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9"/>
        </w:numPr>
        <w:bidi w:val="0"/>
        <w:ind w:left="11" w:leftChars="0" w:firstLine="11" w:firstLineChars="0"/>
        <w:outlineLvl w:val="1"/>
        <w:rPr>
          <w:rFonts w:hint="default" w:ascii="Arial" w:hAnsi="Arial"/>
          <w:b w:val="0"/>
          <w:lang w:val="en-US" w:eastAsia="zh-CN"/>
        </w:rPr>
      </w:pPr>
      <w:bookmarkStart w:id="25" w:name="_Toc2044"/>
      <w:r>
        <w:rPr>
          <w:rFonts w:hint="eastAsia"/>
          <w:b w:val="0"/>
          <w:lang w:val="en-US" w:eastAsia="zh-CN"/>
        </w:rPr>
        <w:t xml:space="preserve"> </w:t>
      </w:r>
      <w:bookmarkStart w:id="26" w:name="_Toc11262"/>
      <w:r>
        <w:rPr>
          <w:rFonts w:hint="eastAsia" w:ascii="Arial" w:hAnsi="Arial"/>
          <w:b w:val="0"/>
          <w:lang w:val="en-US" w:eastAsia="zh-CN"/>
        </w:rPr>
        <w:t>专技人才审核</w:t>
      </w:r>
      <w:bookmarkEnd w:id="25"/>
      <w:bookmarkEnd w:id="26"/>
    </w:p>
    <w:p>
      <w:pPr>
        <w:numPr>
          <w:ilvl w:val="0"/>
          <w:numId w:val="10"/>
        </w:numPr>
        <w:spacing w:after="3" w:line="349" w:lineRule="auto"/>
        <w:ind w:firstLine="320" w:firstLineChars="100"/>
        <w:outlineLvl w:val="2"/>
        <w:rPr>
          <w:rFonts w:hint="default" w:ascii="仿宋" w:hAnsi="仿宋" w:eastAsia="仿宋" w:cs="仿宋"/>
          <w:sz w:val="32"/>
          <w:lang w:val="en-US" w:eastAsia="zh-CN"/>
        </w:rPr>
      </w:pPr>
      <w:bookmarkStart w:id="27" w:name="_Toc7170"/>
      <w:bookmarkStart w:id="28" w:name="_Toc8848"/>
      <w:r>
        <w:rPr>
          <w:rFonts w:hint="eastAsia" w:ascii="仿宋" w:hAnsi="仿宋" w:eastAsia="仿宋" w:cs="仿宋"/>
          <w:sz w:val="32"/>
          <w:lang w:val="en-US" w:eastAsia="zh-CN"/>
        </w:rPr>
        <w:t>专技人才审核</w:t>
      </w:r>
      <w:bookmarkEnd w:id="27"/>
      <w:bookmarkEnd w:id="28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单位端专技人才审核，单位可以查看到待审核信息，点击审核，进入审核页面，对其进行审核。审核通过，将此信息移交给本单位的上级单位继续审核；审核不通过，此条审核终止。审核退回，个人端可以修改后再次提交</w:t>
      </w:r>
      <w:r>
        <w:rPr>
          <w:rFonts w:hint="eastAsia" w:ascii="仿宋" w:hAnsi="仿宋" w:cs="仿宋"/>
          <w:sz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lang w:val="en-US" w:eastAsia="zh-CN"/>
        </w:rPr>
        <w:t>如图</w:t>
      </w:r>
      <w:r>
        <w:rPr>
          <w:rFonts w:hint="eastAsia" w:ascii="仿宋" w:hAnsi="仿宋" w:cs="仿宋"/>
          <w:sz w:val="32"/>
          <w:lang w:val="en-US" w:eastAsia="zh-CN"/>
        </w:rPr>
        <w:t>2-4-1、图2-4-2所示：</w:t>
      </w:r>
    </w:p>
    <w:p>
      <w:pPr>
        <w:spacing w:after="3" w:line="349" w:lineRule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drawing>
          <wp:inline distT="0" distB="0" distL="114300" distR="114300">
            <wp:extent cx="5272405" cy="2525395"/>
            <wp:effectExtent l="0" t="0" r="635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3" w:line="349" w:lineRule="auto"/>
        <w:jc w:val="center"/>
        <w:rPr>
          <w:rFonts w:hint="default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cs="仿宋"/>
          <w:sz w:val="32"/>
          <w:lang w:val="en-US" w:eastAsia="zh-CN"/>
        </w:rPr>
        <w:t>图2-4-1</w:t>
      </w:r>
    </w:p>
    <w:p>
      <w:pPr>
        <w:spacing w:after="3" w:line="349" w:lineRule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drawing>
          <wp:inline distT="0" distB="0" distL="114300" distR="114300">
            <wp:extent cx="5269865" cy="3354070"/>
            <wp:effectExtent l="0" t="0" r="3175" b="139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54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3" w:line="349" w:lineRule="auto"/>
        <w:jc w:val="center"/>
        <w:rPr>
          <w:rFonts w:hint="default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cs="仿宋"/>
          <w:sz w:val="32"/>
          <w:lang w:val="en-US" w:eastAsia="zh-CN"/>
        </w:rPr>
        <w:t>图2-4-2</w:t>
      </w:r>
    </w:p>
    <w:p>
      <w:pPr>
        <w:numPr>
          <w:ilvl w:val="0"/>
          <w:numId w:val="10"/>
        </w:numPr>
        <w:spacing w:after="3" w:line="349" w:lineRule="auto"/>
        <w:ind w:left="0" w:leftChars="0" w:firstLine="320" w:firstLineChars="100"/>
        <w:outlineLvl w:val="2"/>
        <w:rPr>
          <w:rFonts w:hint="default" w:ascii="仿宋" w:hAnsi="仿宋" w:eastAsia="仿宋" w:cs="仿宋"/>
          <w:sz w:val="32"/>
          <w:lang w:val="en-US" w:eastAsia="zh-CN"/>
        </w:rPr>
      </w:pPr>
      <w:bookmarkStart w:id="29" w:name="_Toc9059"/>
      <w:bookmarkStart w:id="30" w:name="_Toc6114"/>
      <w:r>
        <w:rPr>
          <w:rFonts w:hint="eastAsia" w:ascii="仿宋" w:hAnsi="仿宋" w:eastAsia="仿宋" w:cs="仿宋"/>
          <w:sz w:val="32"/>
          <w:lang w:val="en-US" w:eastAsia="zh-CN"/>
        </w:rPr>
        <w:t>专技人才统计</w:t>
      </w:r>
      <w:bookmarkEnd w:id="29"/>
      <w:bookmarkEnd w:id="3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专技人才统计统计了不同</w:t>
      </w:r>
      <w:r>
        <w:rPr>
          <w:rFonts w:hint="default" w:ascii="仿宋" w:hAnsi="仿宋" w:eastAsia="仿宋" w:cs="仿宋"/>
          <w:sz w:val="32"/>
          <w:lang w:val="en-US" w:eastAsia="zh-CN"/>
        </w:rPr>
        <w:t>系列、层级、学历、年龄、是否少数民族、是否中共党员、是否港澳台及外籍人士等信息</w:t>
      </w:r>
      <w:r>
        <w:rPr>
          <w:rFonts w:hint="eastAsia" w:ascii="仿宋" w:hAnsi="仿宋" w:eastAsia="仿宋" w:cs="仿宋"/>
          <w:sz w:val="32"/>
          <w:lang w:val="en-US" w:eastAsia="zh-CN"/>
        </w:rPr>
        <w:t>。如图2-4-3所示：</w:t>
      </w:r>
    </w:p>
    <w:p>
      <w:pPr>
        <w:spacing w:after="3" w:line="349" w:lineRule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drawing>
          <wp:inline distT="0" distB="0" distL="114300" distR="114300">
            <wp:extent cx="5271770" cy="2510790"/>
            <wp:effectExtent l="0" t="0" r="1270" b="3810"/>
            <wp:docPr id="4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2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1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3" w:line="349" w:lineRule="auto"/>
        <w:jc w:val="center"/>
        <w:rPr>
          <w:rFonts w:ascii="Times New Roman" w:hAnsi="Times New Roman" w:eastAsia="Times New Roman" w:cs="Times New Roman"/>
          <w:sz w:val="32"/>
        </w:rPr>
      </w:pPr>
      <w:r>
        <w:rPr>
          <w:rFonts w:hint="eastAsia" w:ascii="仿宋" w:hAnsi="仿宋" w:cs="仿宋"/>
          <w:sz w:val="32"/>
          <w:lang w:val="en-US" w:eastAsia="zh-CN"/>
        </w:rPr>
        <w:t>图2-4-3</w:t>
      </w:r>
    </w:p>
    <w:p>
      <w:pPr>
        <w:pStyle w:val="3"/>
        <w:numPr>
          <w:ilvl w:val="0"/>
          <w:numId w:val="9"/>
        </w:numPr>
        <w:bidi w:val="0"/>
        <w:ind w:left="11" w:leftChars="0" w:firstLine="11" w:firstLineChars="0"/>
      </w:pPr>
      <w:r>
        <w:rPr>
          <w:rFonts w:hint="eastAsia"/>
          <w:lang w:val="en-US" w:eastAsia="zh-CN"/>
        </w:rPr>
        <w:t xml:space="preserve"> </w:t>
      </w:r>
      <w:bookmarkStart w:id="31" w:name="_Toc1607"/>
      <w:r>
        <w:t>消息推送</w:t>
      </w:r>
      <w:bookmarkEnd w:id="31"/>
    </w:p>
    <w:p>
      <w:pPr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" w:line="349" w:lineRule="auto"/>
        <w:ind w:firstLine="320" w:firstLineChars="100"/>
        <w:jc w:val="left"/>
        <w:textAlignment w:val="auto"/>
        <w:outlineLvl w:val="2"/>
        <w:rPr>
          <w:rFonts w:hint="default" w:ascii="仿宋" w:hAnsi="仿宋" w:eastAsia="仿宋" w:cs="仿宋"/>
          <w:sz w:val="32"/>
          <w:lang w:val="en-US" w:eastAsia="zh-CN"/>
        </w:rPr>
      </w:pPr>
      <w:bookmarkStart w:id="32" w:name="_Toc957"/>
      <w:r>
        <w:rPr>
          <w:rFonts w:hint="eastAsia" w:ascii="仿宋" w:hAnsi="仿宋" w:cs="仿宋"/>
          <w:sz w:val="32"/>
          <w:lang w:val="en-US" w:eastAsia="zh-CN"/>
        </w:rPr>
        <w:t>消息通知</w:t>
      </w:r>
      <w:bookmarkEnd w:id="32"/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49" w:lineRule="auto"/>
        <w:ind w:firstLine="640" w:firstLineChars="200"/>
        <w:jc w:val="left"/>
        <w:textAlignment w:val="auto"/>
        <w:rPr>
          <w:rFonts w:hint="default" w:ascii="仿宋" w:hAnsi="仿宋" w:cs="仿宋"/>
          <w:sz w:val="32"/>
          <w:lang w:val="en-US" w:eastAsia="zh-CN"/>
        </w:rPr>
      </w:pPr>
      <w:r>
        <w:rPr>
          <w:rFonts w:ascii="仿宋" w:hAnsi="仿宋" w:eastAsia="仿宋" w:cs="仿宋"/>
          <w:sz w:val="32"/>
        </w:rPr>
        <w:t>本功能用于向系统内的单位或个人发送个性化的通知消息</w:t>
      </w:r>
      <w:r>
        <w:rPr>
          <w:rFonts w:hint="eastAsia" w:ascii="仿宋" w:hAnsi="仿宋" w:cs="仿宋"/>
          <w:sz w:val="32"/>
          <w:lang w:eastAsia="zh-CN"/>
        </w:rPr>
        <w:t>。</w:t>
      </w:r>
      <w:r>
        <w:rPr>
          <w:rFonts w:ascii="仿宋" w:hAnsi="仿宋" w:eastAsia="仿宋" w:cs="仿宋"/>
          <w:sz w:val="32"/>
        </w:rPr>
        <w:t>勾选所需发送的</w:t>
      </w:r>
      <w:r>
        <w:rPr>
          <w:rFonts w:hint="eastAsia" w:ascii="仿宋" w:hAnsi="仿宋" w:cs="仿宋"/>
          <w:sz w:val="32"/>
          <w:lang w:val="en-US" w:eastAsia="zh-CN"/>
        </w:rPr>
        <w:t>的单位，点击【编辑信息】，</w:t>
      </w:r>
      <w:r>
        <w:rPr>
          <w:rFonts w:ascii="仿宋" w:hAnsi="仿宋" w:eastAsia="仿宋" w:cs="仿宋"/>
          <w:sz w:val="32"/>
        </w:rPr>
        <w:t>在弹出窗口中输入要发送的信息后点击【发送】</w:t>
      </w:r>
      <w:r>
        <w:rPr>
          <w:rFonts w:hint="eastAsia" w:ascii="仿宋" w:hAnsi="仿宋" w:cs="仿宋"/>
          <w:sz w:val="32"/>
          <w:lang w:val="en-US" w:eastAsia="zh-CN"/>
        </w:rPr>
        <w:t>；点击【查看本单位人员列表】，可以查看选中单位的申报人信息，选择申报人点击【编辑信息】，</w:t>
      </w:r>
      <w:r>
        <w:rPr>
          <w:rFonts w:ascii="仿宋" w:hAnsi="仿宋" w:eastAsia="仿宋" w:cs="仿宋"/>
          <w:sz w:val="32"/>
        </w:rPr>
        <w:t>在弹出窗口中输入要发送的信息后点击【发送】</w:t>
      </w:r>
      <w:r>
        <w:rPr>
          <w:rFonts w:hint="eastAsia" w:ascii="仿宋" w:hAnsi="仿宋" w:cs="仿宋"/>
          <w:sz w:val="32"/>
          <w:lang w:val="en-US" w:eastAsia="zh-CN"/>
        </w:rPr>
        <w:t>。如图2-5-1、图2-5-2所示：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49" w:lineRule="auto"/>
        <w:jc w:val="center"/>
        <w:textAlignment w:val="auto"/>
      </w:pPr>
      <w:r>
        <w:drawing>
          <wp:inline distT="0" distB="0" distL="114300" distR="114300">
            <wp:extent cx="5269230" cy="1781175"/>
            <wp:effectExtent l="0" t="0" r="3810" b="1905"/>
            <wp:docPr id="2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4" w:name="_GoBack"/>
      <w:bookmarkEnd w:id="34"/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 w:line="349" w:lineRule="auto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图2-5-1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/>
        <w:jc w:val="center"/>
        <w:textAlignment w:val="auto"/>
      </w:pPr>
      <w:r>
        <w:drawing>
          <wp:inline distT="0" distB="0" distL="114300" distR="114300">
            <wp:extent cx="5052060" cy="2373630"/>
            <wp:effectExtent l="0" t="0" r="7620" b="3810"/>
            <wp:docPr id="158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49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237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图2-5-2</w:t>
      </w:r>
    </w:p>
    <w:p>
      <w:pPr>
        <w:pageBreakBefore w:val="0"/>
        <w:widowControl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" w:line="259" w:lineRule="auto"/>
        <w:ind w:left="0" w:leftChars="0" w:firstLine="320" w:firstLineChars="100"/>
        <w:jc w:val="both"/>
        <w:textAlignment w:val="auto"/>
        <w:outlineLvl w:val="2"/>
        <w:rPr>
          <w:rFonts w:hint="eastAsia"/>
          <w:lang w:val="en-US" w:eastAsia="zh-CN"/>
        </w:rPr>
      </w:pPr>
      <w:bookmarkStart w:id="33" w:name="_Toc22107"/>
      <w:r>
        <w:rPr>
          <w:rFonts w:hint="eastAsia"/>
          <w:lang w:val="en-US" w:eastAsia="zh-CN"/>
        </w:rPr>
        <w:t>已接收消息列表</w:t>
      </w:r>
      <w:bookmarkEnd w:id="33"/>
    </w:p>
    <w:p>
      <w:pPr>
        <w:numPr>
          <w:ilvl w:val="0"/>
          <w:numId w:val="0"/>
        </w:numPr>
        <w:ind w:firstLine="64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可以在此模块查看已接收的消息（如图2-5-3、图2-5-4所示），点击此信息，可以查看详情和发送此信息单位，点击确认已读。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" w:line="259" w:lineRule="auto"/>
        <w:jc w:val="both"/>
        <w:textAlignment w:val="auto"/>
      </w:pPr>
      <w:r>
        <w:drawing>
          <wp:inline distT="0" distB="0" distL="114300" distR="114300">
            <wp:extent cx="5266690" cy="2049145"/>
            <wp:effectExtent l="0" t="0" r="6350" b="825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" w:line="259" w:lineRule="auto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图2-5-3</w:t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" w:line="259" w:lineRule="auto"/>
        <w:jc w:val="center"/>
        <w:textAlignment w:val="auto"/>
        <w:rPr>
          <w:rFonts w:hint="default"/>
          <w:lang w:val="en-US" w:eastAsia="zh-CN"/>
        </w:rPr>
      </w:pP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" w:line="259" w:lineRule="auto"/>
        <w:jc w:val="both"/>
        <w:textAlignment w:val="auto"/>
      </w:pPr>
      <w:r>
        <w:drawing>
          <wp:inline distT="0" distB="0" distL="114300" distR="114300">
            <wp:extent cx="5271770" cy="1477010"/>
            <wp:effectExtent l="0" t="0" r="1270" b="1270"/>
            <wp:docPr id="5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1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47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" w:line="259" w:lineRule="auto"/>
        <w:jc w:val="center"/>
        <w:textAlignment w:val="auto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图2-9-4</w:t>
      </w:r>
    </w:p>
    <w:p/>
    <w:p>
      <w:pPr>
        <w:spacing w:after="3" w:line="350" w:lineRule="auto"/>
        <w:rPr>
          <w:rFonts w:hint="eastAsia" w:ascii="Times New Roman" w:hAnsi="Times New Roman" w:eastAsia="宋体" w:cs="Times New Roman"/>
          <w:sz w:val="32"/>
          <w:lang w:val="en-US" w:eastAsia="zh-CN"/>
        </w:rPr>
      </w:pPr>
    </w:p>
    <w:p>
      <w:pPr>
        <w:spacing w:after="172"/>
        <w:rPr>
          <w:rFonts w:hint="default" w:ascii="仿宋" w:hAnsi="仿宋" w:cs="仿宋"/>
          <w:color w:val="auto"/>
          <w:sz w:val="32"/>
          <w:lang w:val="en-US" w:eastAsia="zh-CN"/>
        </w:rPr>
      </w:pPr>
    </w:p>
    <w:p>
      <w:pPr>
        <w:spacing w:after="3" w:line="350" w:lineRule="auto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B4F3BE"/>
    <w:multiLevelType w:val="singleLevel"/>
    <w:tmpl w:val="94B4F3BE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9BC0AB22"/>
    <w:multiLevelType w:val="singleLevel"/>
    <w:tmpl w:val="9BC0AB22"/>
    <w:lvl w:ilvl="0" w:tentative="0">
      <w:start w:val="1"/>
      <w:numFmt w:val="chineseCounting"/>
      <w:suff w:val="space"/>
      <w:lvlText w:val="（%1）"/>
      <w:lvlJc w:val="left"/>
      <w:rPr>
        <w:rFonts w:hint="eastAsia"/>
      </w:rPr>
    </w:lvl>
  </w:abstractNum>
  <w:abstractNum w:abstractNumId="2">
    <w:nsid w:val="C869ADE0"/>
    <w:multiLevelType w:val="singleLevel"/>
    <w:tmpl w:val="C869ADE0"/>
    <w:lvl w:ilvl="0" w:tentative="0">
      <w:start w:val="1"/>
      <w:numFmt w:val="decimal"/>
      <w:suff w:val="space"/>
      <w:lvlText w:val="（%1）"/>
      <w:lvlJc w:val="left"/>
      <w:pPr>
        <w:ind w:left="320" w:leftChars="0" w:firstLine="0" w:firstLineChars="0"/>
      </w:pPr>
    </w:lvl>
  </w:abstractNum>
  <w:abstractNum w:abstractNumId="3">
    <w:nsid w:val="0DE52EAA"/>
    <w:multiLevelType w:val="singleLevel"/>
    <w:tmpl w:val="0DE52EAA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1C5528C3"/>
    <w:multiLevelType w:val="singleLevel"/>
    <w:tmpl w:val="1C5528C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21722028"/>
    <w:multiLevelType w:val="multilevel"/>
    <w:tmpl w:val="21722028"/>
    <w:lvl w:ilvl="0" w:tentative="0">
      <w:start w:val="1"/>
      <w:numFmt w:val="chineseCounting"/>
      <w:suff w:val="nothing"/>
      <w:lvlText w:val="第%1章 "/>
      <w:lvlJc w:val="left"/>
      <w:pPr>
        <w:tabs>
          <w:tab w:val="left" w:pos="0"/>
        </w:tabs>
        <w:ind w:left="432" w:hanging="432"/>
      </w:pPr>
      <w:rPr>
        <w:rFonts w:hint="eastAsia" w:eastAsia="黑体" w:cs="黑体"/>
        <w:b w:val="0"/>
        <w:sz w:val="36"/>
        <w:szCs w:val="36"/>
      </w:rPr>
    </w:lvl>
    <w:lvl w:ilvl="1" w:tentative="0">
      <w:start w:val="1"/>
      <w:numFmt w:val="decimal"/>
      <w:pStyle w:val="3"/>
      <w:isLgl/>
      <w:suff w:val="nothing"/>
      <w:lvlText w:val="%1.%2"/>
      <w:lvlJc w:val="left"/>
      <w:pPr>
        <w:tabs>
          <w:tab w:val="left" w:pos="0"/>
        </w:tabs>
        <w:ind w:left="575" w:hanging="575"/>
      </w:pPr>
      <w:rPr>
        <w:rFonts w:hint="eastAsia" w:ascii="黑体" w:hAnsi="黑体" w:eastAsia="黑体" w:cs="黑体"/>
        <w:b w:val="0"/>
        <w:sz w:val="32"/>
        <w:szCs w:val="32"/>
      </w:rPr>
    </w:lvl>
    <w:lvl w:ilvl="2" w:tentative="0">
      <w:start w:val="1"/>
      <w:numFmt w:val="decimal"/>
      <w:pStyle w:val="4"/>
      <w:isLgl/>
      <w:suff w:val="nothing"/>
      <w:lvlText w:val="%1.%2.%3"/>
      <w:lvlJc w:val="left"/>
      <w:pPr>
        <w:tabs>
          <w:tab w:val="left" w:pos="0"/>
        </w:tabs>
        <w:ind w:left="720" w:hanging="720"/>
      </w:pPr>
      <w:rPr>
        <w:rFonts w:hint="eastAsia" w:ascii="黑体" w:hAnsi="黑体" w:eastAsia="黑体" w:cs="黑体"/>
        <w:b w:val="0"/>
        <w:sz w:val="28"/>
        <w:szCs w:val="28"/>
      </w:rPr>
    </w:lvl>
    <w:lvl w:ilvl="3" w:tentative="0">
      <w:start w:val="1"/>
      <w:numFmt w:val="decimal"/>
      <w:pStyle w:val="5"/>
      <w:isLgl/>
      <w:suff w:val="nothing"/>
      <w:lvlText w:val="%1.%2.%3.%4"/>
      <w:lvlJc w:val="left"/>
      <w:pPr>
        <w:tabs>
          <w:tab w:val="left" w:pos="0"/>
        </w:tabs>
        <w:ind w:left="864" w:hanging="864"/>
      </w:pPr>
      <w:rPr>
        <w:rFonts w:hint="eastAsia" w:ascii="黑体" w:hAnsi="黑体" w:eastAsia="黑体" w:cs="黑体"/>
        <w:b w:val="0"/>
        <w:sz w:val="28"/>
        <w:szCs w:val="28"/>
      </w:rPr>
    </w:lvl>
    <w:lvl w:ilvl="4" w:tentative="0">
      <w:start w:val="1"/>
      <w:numFmt w:val="decimal"/>
      <w:pStyle w:val="6"/>
      <w:isLgl/>
      <w:suff w:val="nothing"/>
      <w:lvlText w:val="%1.%2.%3.%4.%5"/>
      <w:lvlJc w:val="left"/>
      <w:pPr>
        <w:tabs>
          <w:tab w:val="left" w:pos="0"/>
        </w:tabs>
        <w:ind w:left="2208" w:hanging="1008"/>
      </w:pPr>
      <w:rPr>
        <w:rFonts w:hint="eastAsia" w:ascii="黑体" w:hAnsi="黑体" w:eastAsia="黑体" w:cs="黑体"/>
        <w:b w:val="0"/>
        <w:sz w:val="28"/>
        <w:szCs w:val="28"/>
      </w:rPr>
    </w:lvl>
    <w:lvl w:ilvl="5" w:tentative="0">
      <w:start w:val="1"/>
      <w:numFmt w:val="decimal"/>
      <w:pStyle w:val="7"/>
      <w:isLgl/>
      <w:lvlText w:val="%1.%2.%3.%4.%5.%6"/>
      <w:lvlJc w:val="left"/>
      <w:pPr>
        <w:ind w:left="1151" w:hanging="1151"/>
      </w:pPr>
      <w:rPr>
        <w:rFonts w:hint="eastAsia" w:ascii="黑体" w:hAnsi="黑体" w:eastAsia="宋体" w:cs="黑体"/>
        <w:b w:val="0"/>
        <w:sz w:val="28"/>
        <w:szCs w:val="28"/>
      </w:rPr>
    </w:lvl>
    <w:lvl w:ilvl="6" w:tentative="0">
      <w:start w:val="1"/>
      <w:numFmt w:val="decimal"/>
      <w:pStyle w:val="8"/>
      <w:isLgl/>
      <w:lvlText w:val="%1.%2.%3.%4.%5.%6.%7."/>
      <w:lvlJc w:val="left"/>
      <w:pPr>
        <w:tabs>
          <w:tab w:val="left" w:pos="420"/>
        </w:tabs>
        <w:ind w:left="1296" w:hanging="1296"/>
      </w:pPr>
      <w:rPr>
        <w:rFonts w:hint="eastAsia" w:ascii="宋体" w:hAnsi="宋体" w:eastAsia="宋体" w:cs="宋体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6">
    <w:nsid w:val="24A5134E"/>
    <w:multiLevelType w:val="singleLevel"/>
    <w:tmpl w:val="24A5134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7B5980A"/>
    <w:multiLevelType w:val="singleLevel"/>
    <w:tmpl w:val="27B5980A"/>
    <w:lvl w:ilvl="0" w:tentative="0">
      <w:start w:val="1"/>
      <w:numFmt w:val="decimal"/>
      <w:suff w:val="space"/>
      <w:lvlText w:val="%1、"/>
      <w:lvlJc w:val="left"/>
    </w:lvl>
  </w:abstractNum>
  <w:abstractNum w:abstractNumId="8">
    <w:nsid w:val="3867173E"/>
    <w:multiLevelType w:val="singleLevel"/>
    <w:tmpl w:val="3867173E"/>
    <w:lvl w:ilvl="0" w:tentative="0">
      <w:start w:val="1"/>
      <w:numFmt w:val="decimal"/>
      <w:suff w:val="space"/>
      <w:lvlText w:val="%1、"/>
      <w:lvlJc w:val="left"/>
    </w:lvl>
  </w:abstractNum>
  <w:abstractNum w:abstractNumId="9">
    <w:nsid w:val="475E96EB"/>
    <w:multiLevelType w:val="singleLevel"/>
    <w:tmpl w:val="475E96EB"/>
    <w:lvl w:ilvl="0" w:tentative="0">
      <w:start w:val="1"/>
      <w:numFmt w:val="decimal"/>
      <w:suff w:val="space"/>
      <w:lvlText w:val="%1、"/>
      <w:lvlJc w:val="left"/>
    </w:lvl>
  </w:abstractNum>
  <w:abstractNum w:abstractNumId="10">
    <w:nsid w:val="49F50E71"/>
    <w:multiLevelType w:val="singleLevel"/>
    <w:tmpl w:val="49F50E71"/>
    <w:lvl w:ilvl="0" w:tentative="0">
      <w:start w:val="1"/>
      <w:numFmt w:val="decimal"/>
      <w:suff w:val="space"/>
      <w:lvlText w:val="%1、"/>
      <w:lvlJc w:val="left"/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10"/>
  </w:num>
  <w:num w:numId="6">
    <w:abstractNumId w:val="9"/>
  </w:num>
  <w:num w:numId="7">
    <w:abstractNumId w:val="2"/>
  </w:num>
  <w:num w:numId="8">
    <w:abstractNumId w:val="0"/>
  </w:num>
  <w:num w:numId="9">
    <w:abstractNumId w:val="3"/>
  </w:num>
  <w:num w:numId="10">
    <w:abstractNumId w:val="7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kZDliZWVlODhiODgxOTliMzcwYzVkZjQxY2EzYjAifQ=="/>
  </w:docVars>
  <w:rsids>
    <w:rsidRoot w:val="67CC11CE"/>
    <w:rsid w:val="00675481"/>
    <w:rsid w:val="01161381"/>
    <w:rsid w:val="01614E1D"/>
    <w:rsid w:val="01CF0AFF"/>
    <w:rsid w:val="025F0B06"/>
    <w:rsid w:val="027225E3"/>
    <w:rsid w:val="02A209F3"/>
    <w:rsid w:val="08D649B7"/>
    <w:rsid w:val="091C4A6B"/>
    <w:rsid w:val="09815EC8"/>
    <w:rsid w:val="09C32C91"/>
    <w:rsid w:val="0A1569B2"/>
    <w:rsid w:val="0AB1211B"/>
    <w:rsid w:val="0B53731F"/>
    <w:rsid w:val="0E7938DE"/>
    <w:rsid w:val="0F8E6586"/>
    <w:rsid w:val="0FAB0EE6"/>
    <w:rsid w:val="0FC41FA8"/>
    <w:rsid w:val="10450FF1"/>
    <w:rsid w:val="115050FF"/>
    <w:rsid w:val="13255454"/>
    <w:rsid w:val="13517FF7"/>
    <w:rsid w:val="143E22D4"/>
    <w:rsid w:val="156B2164"/>
    <w:rsid w:val="15DF5D8E"/>
    <w:rsid w:val="16247C45"/>
    <w:rsid w:val="16465E0D"/>
    <w:rsid w:val="167A1613"/>
    <w:rsid w:val="1A6745A4"/>
    <w:rsid w:val="1B9238A2"/>
    <w:rsid w:val="1E171E3D"/>
    <w:rsid w:val="1ECF0BC9"/>
    <w:rsid w:val="209D0D1F"/>
    <w:rsid w:val="22DB168B"/>
    <w:rsid w:val="23E97AE5"/>
    <w:rsid w:val="26864004"/>
    <w:rsid w:val="277161BD"/>
    <w:rsid w:val="27AC3442"/>
    <w:rsid w:val="27B70259"/>
    <w:rsid w:val="27FE2920"/>
    <w:rsid w:val="28245882"/>
    <w:rsid w:val="285E6FE6"/>
    <w:rsid w:val="28956780"/>
    <w:rsid w:val="29336D33"/>
    <w:rsid w:val="29FD282F"/>
    <w:rsid w:val="2C0C6228"/>
    <w:rsid w:val="2C6941AB"/>
    <w:rsid w:val="2D193310"/>
    <w:rsid w:val="2DD37B2E"/>
    <w:rsid w:val="30DF4A3C"/>
    <w:rsid w:val="317A69E9"/>
    <w:rsid w:val="321150C9"/>
    <w:rsid w:val="32A93A9C"/>
    <w:rsid w:val="33945FB2"/>
    <w:rsid w:val="34337579"/>
    <w:rsid w:val="34D0301A"/>
    <w:rsid w:val="39822409"/>
    <w:rsid w:val="39DF785B"/>
    <w:rsid w:val="3A935724"/>
    <w:rsid w:val="3AF410E4"/>
    <w:rsid w:val="3D9902F3"/>
    <w:rsid w:val="3F0062A9"/>
    <w:rsid w:val="3FFD0478"/>
    <w:rsid w:val="402661E4"/>
    <w:rsid w:val="40FC5196"/>
    <w:rsid w:val="438020AF"/>
    <w:rsid w:val="44784B34"/>
    <w:rsid w:val="455F7AA2"/>
    <w:rsid w:val="46CF59A7"/>
    <w:rsid w:val="470923BB"/>
    <w:rsid w:val="47DE55F6"/>
    <w:rsid w:val="48D82045"/>
    <w:rsid w:val="4B0B4674"/>
    <w:rsid w:val="4B0C247A"/>
    <w:rsid w:val="4CE26304"/>
    <w:rsid w:val="502D14DE"/>
    <w:rsid w:val="52081BED"/>
    <w:rsid w:val="523A1AA0"/>
    <w:rsid w:val="532D11DF"/>
    <w:rsid w:val="5521784A"/>
    <w:rsid w:val="56051FA0"/>
    <w:rsid w:val="57554DCE"/>
    <w:rsid w:val="59205A6E"/>
    <w:rsid w:val="5A4B40E8"/>
    <w:rsid w:val="5A7314E9"/>
    <w:rsid w:val="5AD308BE"/>
    <w:rsid w:val="5B4B2B4A"/>
    <w:rsid w:val="5B5C08B4"/>
    <w:rsid w:val="5D237E28"/>
    <w:rsid w:val="5D541739"/>
    <w:rsid w:val="5D746389"/>
    <w:rsid w:val="5E2C0A11"/>
    <w:rsid w:val="5F357D99"/>
    <w:rsid w:val="5FA8056B"/>
    <w:rsid w:val="616B7AA3"/>
    <w:rsid w:val="61E71971"/>
    <w:rsid w:val="64055F8C"/>
    <w:rsid w:val="6417181C"/>
    <w:rsid w:val="6449399F"/>
    <w:rsid w:val="6484035B"/>
    <w:rsid w:val="64A31301"/>
    <w:rsid w:val="65930D0A"/>
    <w:rsid w:val="668F47CF"/>
    <w:rsid w:val="677D22DE"/>
    <w:rsid w:val="67827569"/>
    <w:rsid w:val="67CC11CE"/>
    <w:rsid w:val="6AE368FC"/>
    <w:rsid w:val="6B5E01DB"/>
    <w:rsid w:val="6BA73DCD"/>
    <w:rsid w:val="6BCE30C3"/>
    <w:rsid w:val="6C0F3AC4"/>
    <w:rsid w:val="6CB03771"/>
    <w:rsid w:val="6D08089B"/>
    <w:rsid w:val="6DAC3BCB"/>
    <w:rsid w:val="6EBF31DC"/>
    <w:rsid w:val="700510C2"/>
    <w:rsid w:val="70C26FB3"/>
    <w:rsid w:val="71086083"/>
    <w:rsid w:val="71900E5F"/>
    <w:rsid w:val="72CF07C8"/>
    <w:rsid w:val="744F4568"/>
    <w:rsid w:val="74980BA6"/>
    <w:rsid w:val="767D5E56"/>
    <w:rsid w:val="775F37AE"/>
    <w:rsid w:val="77B11FE8"/>
    <w:rsid w:val="789B6A68"/>
    <w:rsid w:val="78B83176"/>
    <w:rsid w:val="7AB32A25"/>
    <w:rsid w:val="7AE54F58"/>
    <w:rsid w:val="7F1B26B0"/>
    <w:rsid w:val="7F1D01D6"/>
    <w:rsid w:val="7F3602D3"/>
    <w:rsid w:val="7F361298"/>
    <w:rsid w:val="7F995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仿宋" w:cs="Calibri"/>
      <w:color w:val="000000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="185" w:afterLines="0" w:afterAutospacing="0" w:line="260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Lines="0" w:beforeAutospacing="0" w:after="171" w:afterLines="0" w:afterAutospacing="0" w:line="260" w:lineRule="auto"/>
      <w:ind w:left="0" w:firstLine="11"/>
      <w:outlineLvl w:val="1"/>
    </w:pPr>
    <w:rPr>
      <w:rFonts w:ascii="Arial" w:hAnsi="Arial" w:eastAsia="楷体"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720" w:hanging="720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64" w:hanging="864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2208" w:hanging="1008"/>
      <w:outlineLvl w:val="4"/>
    </w:pPr>
    <w:rPr>
      <w:b/>
      <w:sz w:val="28"/>
    </w:rPr>
  </w:style>
  <w:style w:type="paragraph" w:styleId="7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0" w:beforeLines="20" w:beforeAutospacing="0" w:after="20" w:afterLines="20" w:afterAutospacing="0" w:line="48" w:lineRule="auto"/>
      <w:ind w:left="252" w:leftChars="0" w:hanging="252" w:hangingChars="120"/>
      <w:outlineLvl w:val="6"/>
    </w:pPr>
    <w:rPr>
      <w:rFonts w:eastAsia="黑体" w:asciiTheme="minorAscii" w:hAnsiTheme="minorAscii"/>
      <w:sz w:val="28"/>
      <w:szCs w:val="2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toc 3"/>
    <w:basedOn w:val="1"/>
    <w:next w:val="1"/>
    <w:qFormat/>
    <w:uiPriority w:val="0"/>
    <w:pPr>
      <w:ind w:left="840" w:leftChars="400"/>
    </w:p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5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16">
    <w:name w:val="WPSOffice手动目录 3"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endnotes" Target="endnote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3253</Words>
  <Characters>3595</Characters>
  <Lines>0</Lines>
  <Paragraphs>0</Paragraphs>
  <TotalTime>0</TotalTime>
  <ScaleCrop>false</ScaleCrop>
  <LinksUpToDate>false</LinksUpToDate>
  <CharactersWithSpaces>3808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2023-04-10T10:49:00Z</dcterms:created>
  <dc:creator>凉城予梦</dc:creator>
  <cp:lastModifiedBy>热心市民阚先生</cp:lastModifiedBy>
  <dcterms:modified xsi:type="dcterms:W3CDTF">2023-05-04T08:00:45Z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267D24B958E942D184A5D0E054254EA7_13</vt:lpwstr>
  </property>
</Properties>
</file>